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A83F80" w:rsidRPr="0064120A" w14:paraId="4240FE3A" w14:textId="77777777" w:rsidTr="00B23E06">
        <w:trPr>
          <w:trHeight w:val="474"/>
        </w:trPr>
        <w:tc>
          <w:tcPr>
            <w:tcW w:w="7343" w:type="dxa"/>
            <w:shd w:val="clear" w:color="auto" w:fill="17365D"/>
            <w:vAlign w:val="center"/>
          </w:tcPr>
          <w:p w14:paraId="05814283" w14:textId="77777777" w:rsidR="00A83F80" w:rsidRPr="0064120A" w:rsidRDefault="00A83F80" w:rsidP="00B23E06">
            <w:pPr>
              <w:rPr>
                <w:rFonts w:asciiTheme="minorBidi" w:hAnsiTheme="minorBidi" w:cstheme="minorBidi"/>
                <w:color w:val="FFFFFF" w:themeColor="background1"/>
                <w:sz w:val="28"/>
                <w:szCs w:val="28"/>
              </w:rPr>
            </w:pPr>
            <w:r w:rsidRPr="0064120A">
              <w:rPr>
                <w:rFonts w:asciiTheme="minorBidi" w:hAnsiTheme="minorBidi" w:cstheme="minorBidi"/>
                <w:noProof/>
                <w:color w:val="FFFFFF" w:themeColor="background1"/>
                <w:sz w:val="28"/>
                <w:szCs w:val="28"/>
              </w:rPr>
              <w:t>English</w:t>
            </w:r>
          </w:p>
        </w:tc>
        <w:tc>
          <w:tcPr>
            <w:tcW w:w="7655" w:type="dxa"/>
            <w:shd w:val="clear" w:color="auto" w:fill="17365D"/>
            <w:vAlign w:val="center"/>
          </w:tcPr>
          <w:p w14:paraId="4AE159DB" w14:textId="5503AFA5" w:rsidR="00A83F80" w:rsidRPr="0064120A" w:rsidRDefault="003375B7" w:rsidP="00B23E06">
            <w:pPr>
              <w:rPr>
                <w:rFonts w:asciiTheme="minorBidi" w:hAnsiTheme="minorBidi" w:cstheme="minorBidi"/>
                <w:color w:val="FFFFFF" w:themeColor="background1"/>
                <w:sz w:val="28"/>
                <w:szCs w:val="28"/>
              </w:rPr>
            </w:pPr>
            <w:r>
              <w:rPr>
                <w:rFonts w:asciiTheme="minorBidi" w:hAnsiTheme="minorBidi" w:cstheme="minorBidi"/>
                <w:sz w:val="28"/>
                <w:szCs w:val="28"/>
              </w:rPr>
              <w:t>Chinese Traditional (Cantonese)</w:t>
            </w:r>
            <w:bookmarkStart w:id="0" w:name="_GoBack"/>
            <w:bookmarkEnd w:id="0"/>
          </w:p>
        </w:tc>
      </w:tr>
      <w:tr w:rsidR="00D907BE" w:rsidRPr="0064120A" w14:paraId="262ED7B7" w14:textId="77777777" w:rsidTr="00FE432F">
        <w:trPr>
          <w:trHeight w:val="595"/>
        </w:trPr>
        <w:tc>
          <w:tcPr>
            <w:tcW w:w="7343" w:type="dxa"/>
            <w:shd w:val="clear" w:color="auto" w:fill="auto"/>
            <w:vAlign w:val="center"/>
          </w:tcPr>
          <w:p w14:paraId="5265BE7A" w14:textId="6575CDD5" w:rsidR="00D907BE" w:rsidRPr="0064120A" w:rsidRDefault="00D907BE" w:rsidP="00D907BE">
            <w:pPr>
              <w:autoSpaceDE w:val="0"/>
              <w:autoSpaceDN w:val="0"/>
              <w:adjustRightInd w:val="0"/>
              <w:ind w:left="22"/>
              <w:rPr>
                <w:rFonts w:asciiTheme="minorBidi" w:eastAsia="SimSun" w:hAnsiTheme="minorBidi" w:cstheme="minorBidi"/>
                <w:snapToGrid/>
                <w:lang w:eastAsia="en-AU"/>
              </w:rPr>
            </w:pPr>
            <w:r w:rsidRPr="0064120A">
              <w:rPr>
                <w:rFonts w:asciiTheme="minorBidi" w:eastAsia="SimSun" w:hAnsiTheme="minorBidi" w:cstheme="minorBidi"/>
                <w:b/>
                <w:bCs/>
                <w:snapToGrid/>
                <w:lang w:eastAsia="en-AU"/>
              </w:rPr>
              <w:t>Summary of key changes to restrictions</w:t>
            </w:r>
          </w:p>
        </w:tc>
        <w:tc>
          <w:tcPr>
            <w:tcW w:w="7655" w:type="dxa"/>
            <w:shd w:val="clear" w:color="auto" w:fill="auto"/>
            <w:vAlign w:val="center"/>
          </w:tcPr>
          <w:p w14:paraId="24492C22" w14:textId="371F408F" w:rsidR="00D907BE" w:rsidRPr="0064120A" w:rsidRDefault="00D907BE" w:rsidP="00D907BE">
            <w:pPr>
              <w:rPr>
                <w:rFonts w:ascii="Pyidaungsu" w:hAnsi="Pyidaungsu" w:cs="Pyidaungsu"/>
              </w:rPr>
            </w:pPr>
            <w:proofErr w:type="spellStart"/>
            <w:r w:rsidRPr="0064120A">
              <w:rPr>
                <w:b/>
                <w:bCs/>
                <w:snapToGrid/>
                <w:lang w:val="zh-Hant" w:eastAsia="en-AU"/>
              </w:rPr>
              <w:t>限制</w:t>
            </w:r>
            <w:proofErr w:type="spellEnd"/>
            <w:r w:rsidR="00B46568" w:rsidRPr="0064120A">
              <w:rPr>
                <w:rFonts w:hint="eastAsia"/>
                <w:b/>
                <w:bCs/>
                <w:snapToGrid/>
                <w:lang w:val="zh-Hant"/>
              </w:rPr>
              <w:t>措施主要變動摘要</w:t>
            </w:r>
          </w:p>
        </w:tc>
      </w:tr>
      <w:tr w:rsidR="00D907BE" w:rsidRPr="0064120A" w14:paraId="00232DCE" w14:textId="77777777" w:rsidTr="003375B7">
        <w:trPr>
          <w:trHeight w:val="2153"/>
        </w:trPr>
        <w:tc>
          <w:tcPr>
            <w:tcW w:w="7343" w:type="dxa"/>
            <w:shd w:val="clear" w:color="auto" w:fill="auto"/>
            <w:vAlign w:val="center"/>
          </w:tcPr>
          <w:p w14:paraId="6E164645" w14:textId="42E6189C" w:rsidR="00D907BE" w:rsidRPr="0064120A" w:rsidRDefault="00D907BE" w:rsidP="00D907BE">
            <w:pPr>
              <w:autoSpaceDE w:val="0"/>
              <w:autoSpaceDN w:val="0"/>
              <w:adjustRightInd w:val="0"/>
              <w:ind w:left="22"/>
              <w:rPr>
                <w:rFonts w:asciiTheme="minorBidi" w:eastAsia="SimSun" w:hAnsiTheme="minorBidi" w:cstheme="minorBidi"/>
                <w:snapToGrid/>
                <w:lang w:eastAsia="en-AU"/>
              </w:rPr>
            </w:pPr>
            <w:r w:rsidRPr="0064120A">
              <w:rPr>
                <w:rFonts w:asciiTheme="minorBidi" w:eastAsia="SimSun" w:hAnsiTheme="minorBidi" w:cstheme="minorBidi"/>
                <w:snapToGrid/>
                <w:lang w:eastAsia="en-AU"/>
              </w:rPr>
              <w:t>In line with </w:t>
            </w:r>
            <w:r w:rsidRPr="0064120A">
              <w:rPr>
                <w:rFonts w:asciiTheme="minorBidi" w:eastAsia="SimSun" w:hAnsiTheme="minorBidi" w:cstheme="minorBidi"/>
                <w:b/>
                <w:bCs/>
                <w:snapToGrid/>
                <w:lang w:eastAsia="en-AU"/>
              </w:rPr>
              <w:t>Stage 3, Step 3.1</w:t>
            </w:r>
            <w:r w:rsidRPr="0064120A">
              <w:rPr>
                <w:rFonts w:asciiTheme="minorBidi" w:eastAsia="SimSun" w:hAnsiTheme="minorBidi" w:cstheme="minorBidi"/>
                <w:snapToGrid/>
                <w:lang w:eastAsia="en-AU"/>
              </w:rPr>
              <w:t> of </w:t>
            </w:r>
            <w:hyperlink r:id="rId10" w:history="1">
              <w:r w:rsidRPr="0064120A">
                <w:rPr>
                  <w:rStyle w:val="Hyperlink"/>
                  <w:rFonts w:asciiTheme="minorBidi" w:eastAsia="SimSun" w:hAnsiTheme="minorBidi" w:cstheme="minorBidi"/>
                  <w:snapToGrid/>
                  <w:lang w:eastAsia="en-AU"/>
                </w:rPr>
                <w:t>Canberra's Recovery Plan</w:t>
              </w:r>
            </w:hyperlink>
            <w:r w:rsidRPr="0064120A">
              <w:rPr>
                <w:rFonts w:asciiTheme="minorBidi" w:eastAsia="SimSun" w:hAnsiTheme="minorBidi" w:cstheme="minorBidi"/>
                <w:snapToGrid/>
                <w:lang w:eastAsia="en-AU"/>
              </w:rPr>
              <w:t>, minor and cautious changes are being made to the current COVID-19 restrictions in the ACT for some sectors that have been closed since March. Subject to a successful public health risk assessment (check point) on Thursday 6 August, the following changes will apply from </w:t>
            </w:r>
            <w:r w:rsidRPr="0064120A">
              <w:rPr>
                <w:rFonts w:asciiTheme="minorBidi" w:eastAsia="SimSun" w:hAnsiTheme="minorBidi" w:cstheme="minorBidi"/>
                <w:b/>
                <w:bCs/>
                <w:snapToGrid/>
                <w:lang w:eastAsia="en-AU"/>
              </w:rPr>
              <w:t>9am on Monday 10 August 2020</w:t>
            </w:r>
            <w:r w:rsidRPr="0064120A">
              <w:rPr>
                <w:rFonts w:asciiTheme="minorBidi" w:eastAsia="SimSun" w:hAnsiTheme="minorBidi" w:cstheme="minorBidi"/>
                <w:snapToGrid/>
                <w:lang w:eastAsia="en-AU"/>
              </w:rPr>
              <w:t>.</w:t>
            </w:r>
          </w:p>
        </w:tc>
        <w:tc>
          <w:tcPr>
            <w:tcW w:w="7655" w:type="dxa"/>
            <w:shd w:val="clear" w:color="auto" w:fill="auto"/>
            <w:vAlign w:val="center"/>
          </w:tcPr>
          <w:p w14:paraId="6792A725" w14:textId="1CD0A1C9" w:rsidR="00D907BE" w:rsidRPr="0064120A" w:rsidRDefault="006B0B4E" w:rsidP="00D907BE">
            <w:pPr>
              <w:rPr>
                <w:rFonts w:ascii="Pyidaungsu" w:hAnsi="Pyidaungsu" w:cs="Pyidaungsu"/>
              </w:rPr>
            </w:pPr>
            <w:r w:rsidRPr="0064120A">
              <w:rPr>
                <w:rFonts w:hint="eastAsia"/>
                <w:noProof/>
                <w:snapToGrid/>
                <w:lang w:val="zh-Hant"/>
              </w:rPr>
              <mc:AlternateContent>
                <mc:Choice Requires="wpi">
                  <w:drawing>
                    <wp:anchor distT="0" distB="0" distL="114300" distR="114300" simplePos="0" relativeHeight="251660288" behindDoc="0" locked="0" layoutInCell="1" allowOverlap="1" wp14:anchorId="1961AE26" wp14:editId="4555E143">
                      <wp:simplePos x="0" y="0"/>
                      <wp:positionH relativeFrom="column">
                        <wp:posOffset>734629</wp:posOffset>
                      </wp:positionH>
                      <wp:positionV relativeFrom="paragraph">
                        <wp:posOffset>865634</wp:posOffset>
                      </wp:positionV>
                      <wp:extent cx="12600" cy="1080"/>
                      <wp:effectExtent l="38100" t="38100" r="45085" b="56515"/>
                      <wp:wrapNone/>
                      <wp:docPr id="2" name="Ink 2"/>
                      <wp:cNvGraphicFramePr/>
                      <a:graphic xmlns:a="http://schemas.openxmlformats.org/drawingml/2006/main">
                        <a:graphicData uri="http://schemas.microsoft.com/office/word/2010/wordprocessingInk">
                          <w14:contentPart bwMode="auto" r:id="rId11">
                            <w14:nvContentPartPr>
                              <w14:cNvContentPartPr/>
                            </w14:nvContentPartPr>
                            <w14:xfrm>
                              <a:off x="0" y="0"/>
                              <a:ext cx="12065" cy="635"/>
                            </w14:xfrm>
                          </w14:contentPart>
                        </a:graphicData>
                      </a:graphic>
                    </wp:anchor>
                  </w:drawing>
                </mc:Choice>
                <mc:Fallback xmlns:w16="http://schemas.microsoft.com/office/word/2018/wordml" xmlns:w16cex="http://schemas.microsoft.com/office/word/2018/wordml/cex">
                  <w:pict>
                    <v:shapetype w14:anchorId="2DE3896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57.15pt;margin-top:67.75pt;width:2.35pt;height:.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">
                      <v:imagedata r:id="rId12" o:title=""/>
                    </v:shape>
                  </w:pict>
                </mc:Fallback>
              </mc:AlternateContent>
            </w:r>
            <w:r w:rsidR="002A4F20">
              <w:rPr>
                <w:rFonts w:hint="eastAsia"/>
                <w:snapToGrid/>
                <w:lang w:val="zh-Hant"/>
              </w:rPr>
              <w:t>兹</w:t>
            </w:r>
            <w:r w:rsidR="006C7D7F" w:rsidRPr="0064120A">
              <w:rPr>
                <w:rFonts w:hint="eastAsia"/>
                <w:snapToGrid/>
                <w:lang w:val="zh-Hant"/>
              </w:rPr>
              <w:t>緊按</w:t>
            </w:r>
            <w:hyperlink r:id="rId13" w:history="1">
              <w:r w:rsidR="00B46568" w:rsidRPr="0064120A">
                <w:rPr>
                  <w:rStyle w:val="Hyperlink"/>
                  <w:rFonts w:ascii="Arial Unicode MS" w:hAnsi="Arial Unicode MS" w:cs="Arial Unicode MS" w:hint="eastAsia"/>
                  <w:snapToGrid/>
                  <w:lang w:val="zh-Hant" w:eastAsia="en-AU"/>
                </w:rPr>
                <w:t>「</w:t>
              </w:r>
              <w:r w:rsidR="00B46568" w:rsidRPr="0064120A">
                <w:rPr>
                  <w:rStyle w:val="Hyperlink"/>
                  <w:rFonts w:ascii="Arial Unicode MS" w:hAnsi="Arial Unicode MS" w:cs="Arial Unicode MS" w:hint="eastAsia"/>
                  <w:snapToGrid/>
                  <w:lang w:val="zh-Hant"/>
                </w:rPr>
                <w:t>堪培拉興復計劃</w:t>
              </w:r>
              <w:r w:rsidR="00B46568" w:rsidRPr="0064120A">
                <w:rPr>
                  <w:rStyle w:val="Hyperlink"/>
                  <w:rFonts w:ascii="Arial Unicode MS" w:hAnsi="Arial Unicode MS" w:cs="Arial Unicode MS" w:hint="eastAsia"/>
                  <w:snapToGrid/>
                  <w:lang w:val="zh-Hant" w:eastAsia="en-AU"/>
                </w:rPr>
                <w:t>」</w:t>
              </w:r>
              <w:r w:rsidR="00B46568" w:rsidRPr="0064120A">
                <w:rPr>
                  <w:rStyle w:val="Hyperlink"/>
                  <w:rFonts w:ascii="Arial Unicode MS" w:hAnsi="Arial Unicode MS" w:cs="Arial Unicode MS"/>
                  <w:snapToGrid/>
                  <w:lang w:eastAsia="en-AU"/>
                </w:rPr>
                <w:t>(C</w:t>
              </w:r>
              <w:r w:rsidR="00D907BE" w:rsidRPr="0064120A">
                <w:rPr>
                  <w:rStyle w:val="Hyperlink"/>
                  <w:snapToGrid/>
                  <w:lang w:val="zh-Hant" w:eastAsia="en-AU"/>
                </w:rPr>
                <w:t>anberra's Recovery Plan</w:t>
              </w:r>
            </w:hyperlink>
            <w:r w:rsidR="00B46568" w:rsidRPr="0064120A">
              <w:rPr>
                <w:rStyle w:val="Hyperlink"/>
                <w:snapToGrid/>
                <w:lang w:eastAsia="en-AU"/>
              </w:rPr>
              <w:t>)</w:t>
            </w:r>
            <w:r w:rsidR="006C7D7F" w:rsidRPr="0064120A">
              <w:rPr>
                <w:b/>
                <w:bCs/>
                <w:lang w:val="zh-Hant"/>
              </w:rPr>
              <w:t>第三階段</w:t>
            </w:r>
            <w:r w:rsidR="006C7D7F" w:rsidRPr="0064120A">
              <w:rPr>
                <w:rFonts w:hint="eastAsia"/>
                <w:b/>
                <w:bCs/>
                <w:lang w:val="zh-Hant"/>
              </w:rPr>
              <w:t>第</w:t>
            </w:r>
            <w:r w:rsidR="006C7D7F" w:rsidRPr="0064120A">
              <w:rPr>
                <w:rFonts w:hint="eastAsia"/>
                <w:b/>
                <w:bCs/>
                <w:lang w:val="zh-Hant"/>
              </w:rPr>
              <w:t>3.1</w:t>
            </w:r>
            <w:r w:rsidR="006C7D7F" w:rsidRPr="0064120A">
              <w:rPr>
                <w:rFonts w:hint="eastAsia"/>
                <w:b/>
                <w:bCs/>
                <w:lang w:val="zh-Hant"/>
              </w:rPr>
              <w:t>步</w:t>
            </w:r>
            <w:r w:rsidR="006C7D7F" w:rsidRPr="0064120A">
              <w:rPr>
                <w:rFonts w:hint="eastAsia"/>
                <w:lang w:val="zh-Hant"/>
              </w:rPr>
              <w:t>，首都區</w:t>
            </w:r>
            <w:r w:rsidR="006C7D7F" w:rsidRPr="0064120A">
              <w:t>(ACT)</w:t>
            </w:r>
            <w:r w:rsidR="006C7D7F" w:rsidRPr="0064120A">
              <w:rPr>
                <w:rFonts w:hint="eastAsia"/>
              </w:rPr>
              <w:t>現行的冠狀病毒病</w:t>
            </w:r>
            <w:r w:rsidR="006C7D7F" w:rsidRPr="0064120A">
              <w:t>(COVID-19)</w:t>
            </w:r>
            <w:r w:rsidR="006C7D7F" w:rsidRPr="0064120A">
              <w:rPr>
                <w:rFonts w:hint="eastAsia"/>
              </w:rPr>
              <w:t>限制措施</w:t>
            </w:r>
            <w:r w:rsidR="00347DFF" w:rsidRPr="0064120A">
              <w:rPr>
                <w:rFonts w:hint="eastAsia"/>
              </w:rPr>
              <w:t>對於某些</w:t>
            </w:r>
            <w:r w:rsidR="00100CEF" w:rsidRPr="0064120A">
              <w:rPr>
                <w:rFonts w:hint="eastAsia"/>
              </w:rPr>
              <w:t>自</w:t>
            </w:r>
            <w:r w:rsidR="00D907BE" w:rsidRPr="0064120A">
              <w:rPr>
                <w:lang w:val="zh-Hant"/>
              </w:rPr>
              <w:t>3</w:t>
            </w:r>
            <w:r w:rsidR="00D907BE" w:rsidRPr="0064120A">
              <w:rPr>
                <w:lang w:val="zh-Hant"/>
              </w:rPr>
              <w:t>月來</w:t>
            </w:r>
            <w:r w:rsidR="006C7D7F" w:rsidRPr="0064120A">
              <w:rPr>
                <w:rFonts w:hint="eastAsia"/>
                <w:lang w:val="zh-Hant"/>
              </w:rPr>
              <w:t>一直</w:t>
            </w:r>
            <w:r w:rsidR="002A4F20">
              <w:rPr>
                <w:rFonts w:hint="eastAsia"/>
                <w:lang w:val="zh-Hant"/>
              </w:rPr>
              <w:t>停業</w:t>
            </w:r>
            <w:r w:rsidR="006C7D7F" w:rsidRPr="0064120A">
              <w:rPr>
                <w:rFonts w:hint="eastAsia"/>
                <w:lang w:val="zh-Hant"/>
              </w:rPr>
              <w:t>的行業</w:t>
            </w:r>
            <w:r w:rsidRPr="0064120A">
              <w:rPr>
                <w:rFonts w:hint="eastAsia"/>
                <w:lang w:val="zh-Hant"/>
              </w:rPr>
              <w:t>將</w:t>
            </w:r>
            <w:r w:rsidR="006C7D7F" w:rsidRPr="0064120A">
              <w:rPr>
                <w:rFonts w:hint="eastAsia"/>
                <w:lang w:val="zh-Hant"/>
              </w:rPr>
              <w:t>有</w:t>
            </w:r>
            <w:r w:rsidR="002A4F20">
              <w:rPr>
                <w:rFonts w:hint="eastAsia"/>
                <w:lang w:val="zh-Hant"/>
              </w:rPr>
              <w:t>些</w:t>
            </w:r>
            <w:r w:rsidR="00347DFF" w:rsidRPr="0064120A">
              <w:rPr>
                <w:rFonts w:hint="eastAsia"/>
                <w:lang w:val="zh-Hant"/>
              </w:rPr>
              <w:t>次要</w:t>
            </w:r>
            <w:r w:rsidR="00100CEF" w:rsidRPr="0064120A">
              <w:rPr>
                <w:rFonts w:hint="eastAsia"/>
                <w:lang w:val="zh-Hant"/>
              </w:rPr>
              <w:t>而</w:t>
            </w:r>
            <w:proofErr w:type="spellStart"/>
            <w:r w:rsidR="00D907BE" w:rsidRPr="0064120A">
              <w:rPr>
                <w:snapToGrid/>
                <w:lang w:val="zh-Hant" w:eastAsia="en-AU"/>
              </w:rPr>
              <w:t>謹慎的</w:t>
            </w:r>
            <w:proofErr w:type="spellEnd"/>
            <w:r w:rsidR="00100CEF" w:rsidRPr="0064120A">
              <w:rPr>
                <w:rFonts w:hint="eastAsia"/>
                <w:snapToGrid/>
                <w:lang w:val="zh-Hant"/>
              </w:rPr>
              <w:t>改動</w:t>
            </w:r>
            <w:r w:rsidR="00D907BE" w:rsidRPr="0064120A">
              <w:rPr>
                <w:snapToGrid/>
                <w:lang w:val="zh-Hant" w:eastAsia="en-AU"/>
              </w:rPr>
              <w:t>。</w:t>
            </w:r>
            <w:r w:rsidR="006B0697" w:rsidRPr="0064120A">
              <w:rPr>
                <w:rFonts w:hint="eastAsia"/>
                <w:snapToGrid/>
              </w:rPr>
              <w:t>若</w:t>
            </w:r>
            <w:r w:rsidR="002021FE" w:rsidRPr="0064120A">
              <w:rPr>
                <w:snapToGrid/>
                <w:lang w:val="zh-Hant"/>
              </w:rPr>
              <w:t>8</w:t>
            </w:r>
            <w:r w:rsidR="002021FE" w:rsidRPr="0064120A">
              <w:rPr>
                <w:snapToGrid/>
                <w:lang w:val="zh-Hant"/>
              </w:rPr>
              <w:t>月</w:t>
            </w:r>
            <w:r w:rsidR="002021FE" w:rsidRPr="0064120A">
              <w:rPr>
                <w:snapToGrid/>
                <w:lang w:val="zh-Hant"/>
              </w:rPr>
              <w:t>6</w:t>
            </w:r>
            <w:r w:rsidR="002021FE" w:rsidRPr="0064120A">
              <w:rPr>
                <w:snapToGrid/>
                <w:lang w:val="zh-Hant"/>
              </w:rPr>
              <w:t>日週四</w:t>
            </w:r>
            <w:r w:rsidR="006B0697" w:rsidRPr="0064120A">
              <w:rPr>
                <w:rFonts w:hint="eastAsia"/>
                <w:snapToGrid/>
                <w:lang w:val="zh-Hant"/>
              </w:rPr>
              <w:t>的</w:t>
            </w:r>
            <w:r w:rsidR="002021FE" w:rsidRPr="0064120A">
              <w:rPr>
                <w:snapToGrid/>
                <w:lang w:val="zh-Hant"/>
              </w:rPr>
              <w:t>公共衛生風險評估</w:t>
            </w:r>
            <w:r w:rsidR="002021FE" w:rsidRPr="0064120A">
              <w:rPr>
                <w:snapToGrid/>
                <w:lang w:val="zh-Hant"/>
              </w:rPr>
              <w:t>(</w:t>
            </w:r>
            <w:r w:rsidR="006B0697" w:rsidRPr="0064120A">
              <w:rPr>
                <w:rFonts w:hint="eastAsia"/>
                <w:snapToGrid/>
              </w:rPr>
              <w:t>覆檢日</w:t>
            </w:r>
            <w:r w:rsidR="002021FE" w:rsidRPr="0064120A">
              <w:rPr>
                <w:snapToGrid/>
                <w:lang w:val="zh-Hant"/>
              </w:rPr>
              <w:t>)</w:t>
            </w:r>
            <w:r w:rsidR="00347DFF" w:rsidRPr="0064120A">
              <w:rPr>
                <w:rFonts w:hint="eastAsia"/>
                <w:snapToGrid/>
                <w:lang w:val="zh-Hant"/>
              </w:rPr>
              <w:t>順利通過</w:t>
            </w:r>
            <w:r w:rsidR="002021FE" w:rsidRPr="0064120A">
              <w:rPr>
                <w:rFonts w:hint="eastAsia"/>
                <w:snapToGrid/>
                <w:lang w:val="zh-Hant"/>
              </w:rPr>
              <w:t>，</w:t>
            </w:r>
            <w:proofErr w:type="spellStart"/>
            <w:r w:rsidR="00D907BE" w:rsidRPr="0064120A">
              <w:rPr>
                <w:snapToGrid/>
                <w:lang w:val="zh-Hant" w:eastAsia="en-AU"/>
              </w:rPr>
              <w:t>下列</w:t>
            </w:r>
            <w:proofErr w:type="spellEnd"/>
            <w:r w:rsidR="006B0697" w:rsidRPr="0064120A">
              <w:rPr>
                <w:rFonts w:hint="eastAsia"/>
                <w:snapToGrid/>
                <w:lang w:val="zh-Hant"/>
              </w:rPr>
              <w:t>變動</w:t>
            </w:r>
            <w:proofErr w:type="spellStart"/>
            <w:r w:rsidR="00D907BE" w:rsidRPr="0064120A">
              <w:rPr>
                <w:snapToGrid/>
                <w:lang w:val="zh-Hant" w:eastAsia="en-AU"/>
              </w:rPr>
              <w:t>將於</w:t>
            </w:r>
            <w:proofErr w:type="spellEnd"/>
            <w:r w:rsidR="00D907BE" w:rsidRPr="0064120A">
              <w:rPr>
                <w:b/>
                <w:bCs/>
                <w:snapToGrid/>
                <w:lang w:val="zh-Hant" w:eastAsia="en-AU"/>
              </w:rPr>
              <w:t>2020</w:t>
            </w:r>
            <w:r w:rsidR="00D907BE" w:rsidRPr="0064120A">
              <w:rPr>
                <w:b/>
                <w:bCs/>
                <w:snapToGrid/>
                <w:lang w:val="zh-Hant" w:eastAsia="en-AU"/>
              </w:rPr>
              <w:t>年</w:t>
            </w:r>
            <w:r w:rsidR="00D907BE" w:rsidRPr="0064120A">
              <w:rPr>
                <w:b/>
                <w:bCs/>
                <w:snapToGrid/>
                <w:lang w:val="zh-Hant" w:eastAsia="en-AU"/>
              </w:rPr>
              <w:t>8</w:t>
            </w:r>
            <w:r w:rsidR="00D907BE" w:rsidRPr="0064120A">
              <w:rPr>
                <w:b/>
                <w:bCs/>
                <w:snapToGrid/>
                <w:lang w:val="zh-Hant" w:eastAsia="en-AU"/>
              </w:rPr>
              <w:t>月</w:t>
            </w:r>
            <w:r w:rsidR="00D907BE" w:rsidRPr="0064120A">
              <w:rPr>
                <w:b/>
                <w:bCs/>
                <w:snapToGrid/>
                <w:lang w:val="zh-Hant" w:eastAsia="en-AU"/>
              </w:rPr>
              <w:t>10</w:t>
            </w:r>
            <w:proofErr w:type="spellStart"/>
            <w:r w:rsidR="00D907BE" w:rsidRPr="0064120A">
              <w:rPr>
                <w:b/>
                <w:bCs/>
                <w:snapToGrid/>
                <w:lang w:val="zh-Hant" w:eastAsia="en-AU"/>
              </w:rPr>
              <w:t>日</w:t>
            </w:r>
            <w:r w:rsidR="002021FE" w:rsidRPr="0064120A">
              <w:rPr>
                <w:b/>
                <w:bCs/>
                <w:snapToGrid/>
                <w:lang w:val="zh-Hant" w:eastAsia="en-AU"/>
              </w:rPr>
              <w:t>週</w:t>
            </w:r>
            <w:r w:rsidR="00D907BE" w:rsidRPr="0064120A">
              <w:rPr>
                <w:b/>
                <w:bCs/>
                <w:snapToGrid/>
                <w:lang w:val="zh-Hant" w:eastAsia="en-AU"/>
              </w:rPr>
              <w:t>一上午</w:t>
            </w:r>
            <w:proofErr w:type="spellEnd"/>
            <w:r w:rsidR="00D907BE" w:rsidRPr="0064120A">
              <w:rPr>
                <w:b/>
                <w:bCs/>
                <w:snapToGrid/>
                <w:lang w:val="zh-Hant" w:eastAsia="en-AU"/>
              </w:rPr>
              <w:t>9</w:t>
            </w:r>
            <w:proofErr w:type="spellStart"/>
            <w:r w:rsidR="00D907BE" w:rsidRPr="0064120A">
              <w:rPr>
                <w:b/>
                <w:bCs/>
                <w:snapToGrid/>
                <w:lang w:val="zh-Hant" w:eastAsia="en-AU"/>
              </w:rPr>
              <w:t>時起</w:t>
            </w:r>
            <w:proofErr w:type="spellEnd"/>
            <w:r w:rsidR="006B0697" w:rsidRPr="0064120A">
              <w:rPr>
                <w:rFonts w:hint="eastAsia"/>
                <w:b/>
                <w:bCs/>
                <w:snapToGrid/>
                <w:lang w:val="zh-Hant"/>
              </w:rPr>
              <w:t>生效</w:t>
            </w:r>
            <w:r w:rsidR="00D907BE" w:rsidRPr="0064120A">
              <w:rPr>
                <w:snapToGrid/>
                <w:lang w:val="zh-Hant" w:eastAsia="en-AU"/>
              </w:rPr>
              <w:t>。</w:t>
            </w:r>
          </w:p>
        </w:tc>
      </w:tr>
      <w:tr w:rsidR="00D907BE" w:rsidRPr="0064120A" w14:paraId="4135F82F" w14:textId="77777777" w:rsidTr="00FE432F">
        <w:trPr>
          <w:trHeight w:val="595"/>
        </w:trPr>
        <w:tc>
          <w:tcPr>
            <w:tcW w:w="7343" w:type="dxa"/>
            <w:shd w:val="clear" w:color="auto" w:fill="auto"/>
            <w:vAlign w:val="center"/>
          </w:tcPr>
          <w:p w14:paraId="0FC5A744" w14:textId="3428FF2B" w:rsidR="00D907BE" w:rsidRPr="0064120A" w:rsidRDefault="00D907BE" w:rsidP="00D907BE">
            <w:pPr>
              <w:autoSpaceDE w:val="0"/>
              <w:autoSpaceDN w:val="0"/>
              <w:adjustRightInd w:val="0"/>
              <w:ind w:left="22"/>
              <w:rPr>
                <w:rFonts w:asciiTheme="minorBidi" w:eastAsia="SimSun" w:hAnsiTheme="minorBidi" w:cstheme="minorBidi"/>
                <w:snapToGrid/>
                <w:lang w:eastAsia="en-AU"/>
              </w:rPr>
            </w:pPr>
            <w:r w:rsidRPr="0064120A">
              <w:rPr>
                <w:rFonts w:asciiTheme="minorBidi" w:eastAsia="SimSun" w:hAnsiTheme="minorBidi" w:cstheme="minorBidi"/>
                <w:b/>
                <w:bCs/>
                <w:snapToGrid/>
                <w:lang w:eastAsia="en-AU"/>
              </w:rPr>
              <w:t>The following can open:</w:t>
            </w:r>
          </w:p>
        </w:tc>
        <w:tc>
          <w:tcPr>
            <w:tcW w:w="7655" w:type="dxa"/>
            <w:shd w:val="clear" w:color="auto" w:fill="auto"/>
            <w:vAlign w:val="center"/>
          </w:tcPr>
          <w:p w14:paraId="2CAE9925" w14:textId="223BD289" w:rsidR="00D907BE" w:rsidRPr="0064120A" w:rsidRDefault="008E104C" w:rsidP="00D907BE">
            <w:pPr>
              <w:rPr>
                <w:rFonts w:ascii="Pyidaungsu" w:hAnsi="Pyidaungsu" w:cs="Pyidaungsu"/>
              </w:rPr>
            </w:pPr>
            <w:r w:rsidRPr="0064120A">
              <w:rPr>
                <w:rFonts w:hint="eastAsia"/>
                <w:b/>
                <w:bCs/>
                <w:snapToGrid/>
                <w:lang w:val="zh-Hant"/>
              </w:rPr>
              <w:t>以下</w:t>
            </w:r>
            <w:r w:rsidR="00733E43" w:rsidRPr="0064120A">
              <w:rPr>
                <w:rFonts w:hint="eastAsia"/>
                <w:b/>
                <w:bCs/>
                <w:snapToGrid/>
                <w:lang w:val="zh-Hant"/>
              </w:rPr>
              <w:t>商鋪</w:t>
            </w:r>
            <w:proofErr w:type="spellStart"/>
            <w:r w:rsidR="00D907BE" w:rsidRPr="0064120A">
              <w:rPr>
                <w:b/>
                <w:bCs/>
                <w:snapToGrid/>
                <w:lang w:val="zh-Hant" w:eastAsia="en-AU"/>
              </w:rPr>
              <w:t>可以</w:t>
            </w:r>
            <w:proofErr w:type="spellEnd"/>
            <w:r w:rsidR="00733E43" w:rsidRPr="0064120A">
              <w:rPr>
                <w:rFonts w:hint="eastAsia"/>
                <w:b/>
                <w:bCs/>
                <w:snapToGrid/>
                <w:lang w:val="zh-Hant"/>
              </w:rPr>
              <w:t>營業</w:t>
            </w:r>
            <w:r w:rsidR="00D907BE" w:rsidRPr="0064120A">
              <w:rPr>
                <w:b/>
                <w:bCs/>
                <w:snapToGrid/>
                <w:lang w:val="zh-Hant" w:eastAsia="en-AU"/>
              </w:rPr>
              <w:t>:</w:t>
            </w:r>
          </w:p>
        </w:tc>
      </w:tr>
      <w:tr w:rsidR="00D907BE" w:rsidRPr="0064120A" w14:paraId="41442C22" w14:textId="77777777" w:rsidTr="00FE432F">
        <w:trPr>
          <w:trHeight w:val="1792"/>
        </w:trPr>
        <w:tc>
          <w:tcPr>
            <w:tcW w:w="7343" w:type="dxa"/>
            <w:shd w:val="clear" w:color="auto" w:fill="auto"/>
            <w:vAlign w:val="center"/>
          </w:tcPr>
          <w:p w14:paraId="47514EA5" w14:textId="77777777" w:rsidR="00D907BE" w:rsidRPr="0064120A" w:rsidRDefault="00D907BE" w:rsidP="00D907BE">
            <w:pPr>
              <w:numPr>
                <w:ilvl w:val="0"/>
                <w:numId w:val="25"/>
              </w:numPr>
              <w:autoSpaceDE w:val="0"/>
              <w:autoSpaceDN w:val="0"/>
              <w:adjustRightInd w:val="0"/>
              <w:rPr>
                <w:rFonts w:asciiTheme="minorBidi" w:eastAsia="SimSun" w:hAnsiTheme="minorBidi" w:cstheme="minorBidi"/>
                <w:snapToGrid/>
                <w:lang w:eastAsia="en-AU"/>
              </w:rPr>
            </w:pPr>
            <w:r w:rsidRPr="0064120A">
              <w:rPr>
                <w:rFonts w:asciiTheme="minorBidi" w:eastAsia="SimSun" w:hAnsiTheme="minorBidi" w:cstheme="minorBidi"/>
                <w:snapToGrid/>
                <w:lang w:eastAsia="en-AU"/>
              </w:rPr>
              <w:t>Food courts (dine-in)</w:t>
            </w:r>
          </w:p>
          <w:p w14:paraId="1542E238" w14:textId="77777777" w:rsidR="00D907BE" w:rsidRPr="0064120A" w:rsidRDefault="00D907BE" w:rsidP="00D907BE">
            <w:pPr>
              <w:numPr>
                <w:ilvl w:val="0"/>
                <w:numId w:val="25"/>
              </w:numPr>
              <w:autoSpaceDE w:val="0"/>
              <w:autoSpaceDN w:val="0"/>
              <w:adjustRightInd w:val="0"/>
              <w:rPr>
                <w:rFonts w:asciiTheme="minorBidi" w:eastAsia="SimSun" w:hAnsiTheme="minorBidi" w:cstheme="minorBidi"/>
                <w:snapToGrid/>
                <w:lang w:eastAsia="en-AU"/>
              </w:rPr>
            </w:pPr>
            <w:r w:rsidRPr="0064120A">
              <w:rPr>
                <w:rFonts w:asciiTheme="minorBidi" w:eastAsia="SimSun" w:hAnsiTheme="minorBidi" w:cstheme="minorBidi"/>
                <w:snapToGrid/>
                <w:lang w:eastAsia="en-AU"/>
              </w:rPr>
              <w:t>Casinos and gaming in clubs</w:t>
            </w:r>
          </w:p>
          <w:p w14:paraId="41ED3365" w14:textId="77777777" w:rsidR="00D907BE" w:rsidRPr="0064120A" w:rsidRDefault="00D907BE" w:rsidP="00D907BE">
            <w:pPr>
              <w:numPr>
                <w:ilvl w:val="0"/>
                <w:numId w:val="25"/>
              </w:numPr>
              <w:autoSpaceDE w:val="0"/>
              <w:autoSpaceDN w:val="0"/>
              <w:adjustRightInd w:val="0"/>
              <w:rPr>
                <w:rFonts w:asciiTheme="minorBidi" w:eastAsia="SimSun" w:hAnsiTheme="minorBidi" w:cstheme="minorBidi"/>
                <w:snapToGrid/>
                <w:lang w:eastAsia="en-AU"/>
              </w:rPr>
            </w:pPr>
            <w:r w:rsidRPr="0064120A">
              <w:rPr>
                <w:rFonts w:asciiTheme="minorBidi" w:eastAsia="SimSun" w:hAnsiTheme="minorBidi" w:cstheme="minorBidi"/>
                <w:snapToGrid/>
                <w:lang w:eastAsia="en-AU"/>
              </w:rPr>
              <w:t>Steam-based services including saunas, steam rooms, steam cabinets and bathhouses</w:t>
            </w:r>
          </w:p>
          <w:p w14:paraId="061BECF3" w14:textId="45E12340" w:rsidR="00D907BE" w:rsidRPr="0064120A" w:rsidRDefault="00D907BE" w:rsidP="00D907BE">
            <w:pPr>
              <w:numPr>
                <w:ilvl w:val="0"/>
                <w:numId w:val="25"/>
              </w:numPr>
              <w:autoSpaceDE w:val="0"/>
              <w:autoSpaceDN w:val="0"/>
              <w:adjustRightInd w:val="0"/>
              <w:rPr>
                <w:rFonts w:asciiTheme="minorBidi" w:eastAsia="SimSun" w:hAnsiTheme="minorBidi" w:cstheme="minorBidi"/>
                <w:snapToGrid/>
                <w:lang w:eastAsia="en-AU"/>
              </w:rPr>
            </w:pPr>
            <w:r w:rsidRPr="0064120A">
              <w:rPr>
                <w:rFonts w:asciiTheme="minorBidi" w:eastAsia="SimSun" w:hAnsiTheme="minorBidi" w:cstheme="minorBidi"/>
                <w:snapToGrid/>
                <w:lang w:eastAsia="en-AU"/>
              </w:rPr>
              <w:t>Strip clubs, brothels, escort agencies.</w:t>
            </w:r>
          </w:p>
        </w:tc>
        <w:tc>
          <w:tcPr>
            <w:tcW w:w="7655" w:type="dxa"/>
            <w:shd w:val="clear" w:color="auto" w:fill="auto"/>
            <w:vAlign w:val="center"/>
          </w:tcPr>
          <w:p w14:paraId="037DD16A" w14:textId="77777777" w:rsidR="00733E43" w:rsidRPr="0064120A" w:rsidRDefault="00733E43" w:rsidP="00733E43">
            <w:pPr>
              <w:numPr>
                <w:ilvl w:val="0"/>
                <w:numId w:val="25"/>
              </w:numPr>
              <w:autoSpaceDE w:val="0"/>
              <w:autoSpaceDN w:val="0"/>
              <w:adjustRightInd w:val="0"/>
              <w:rPr>
                <w:snapToGrid/>
                <w:lang w:val="zh-Hant" w:eastAsia="en-AU"/>
              </w:rPr>
            </w:pPr>
            <w:proofErr w:type="spellStart"/>
            <w:r w:rsidRPr="0064120A">
              <w:rPr>
                <w:snapToGrid/>
                <w:lang w:val="zh-Hant" w:eastAsia="en-AU"/>
              </w:rPr>
              <w:t>美食</w:t>
            </w:r>
            <w:r w:rsidRPr="0064120A">
              <w:rPr>
                <w:rFonts w:hint="eastAsia"/>
                <w:snapToGrid/>
                <w:lang w:val="zh-Hant" w:eastAsia="en-AU"/>
              </w:rPr>
              <w:t>廣場</w:t>
            </w:r>
            <w:proofErr w:type="spellEnd"/>
            <w:r w:rsidRPr="0064120A">
              <w:rPr>
                <w:snapToGrid/>
                <w:lang w:val="zh-Hant" w:eastAsia="en-AU"/>
              </w:rPr>
              <w:t>(</w:t>
            </w:r>
            <w:proofErr w:type="spellStart"/>
            <w:r w:rsidRPr="0064120A">
              <w:rPr>
                <w:rFonts w:hint="eastAsia"/>
                <w:snapToGrid/>
                <w:lang w:val="zh-Hant" w:eastAsia="en-AU"/>
              </w:rPr>
              <w:t>堂食</w:t>
            </w:r>
            <w:proofErr w:type="spellEnd"/>
            <w:r w:rsidRPr="0064120A">
              <w:rPr>
                <w:snapToGrid/>
                <w:lang w:val="zh-Hant" w:eastAsia="en-AU"/>
              </w:rPr>
              <w:t>)</w:t>
            </w:r>
          </w:p>
          <w:p w14:paraId="2A5619AE" w14:textId="3976EE2C" w:rsidR="00733E43" w:rsidRPr="0064120A" w:rsidRDefault="00733E43" w:rsidP="00733E43">
            <w:pPr>
              <w:numPr>
                <w:ilvl w:val="0"/>
                <w:numId w:val="25"/>
              </w:numPr>
              <w:autoSpaceDE w:val="0"/>
              <w:autoSpaceDN w:val="0"/>
              <w:adjustRightInd w:val="0"/>
              <w:rPr>
                <w:snapToGrid/>
                <w:lang w:val="zh-Hant" w:eastAsia="en-AU"/>
              </w:rPr>
            </w:pPr>
            <w:proofErr w:type="spellStart"/>
            <w:r w:rsidRPr="0064120A">
              <w:rPr>
                <w:snapToGrid/>
                <w:lang w:val="zh-Hant" w:eastAsia="en-AU"/>
              </w:rPr>
              <w:t>賭場及</w:t>
            </w:r>
            <w:r w:rsidRPr="0064120A">
              <w:rPr>
                <w:rFonts w:hint="eastAsia"/>
                <w:snapToGrid/>
                <w:lang w:val="zh-Hant" w:eastAsia="en-AU"/>
              </w:rPr>
              <w:t>博彩</w:t>
            </w:r>
            <w:proofErr w:type="spellEnd"/>
            <w:r w:rsidRPr="0064120A">
              <w:rPr>
                <w:rFonts w:hint="eastAsia"/>
                <w:snapToGrid/>
                <w:lang w:val="zh-Hant"/>
              </w:rPr>
              <w:t>游戲</w:t>
            </w:r>
            <w:r w:rsidRPr="0064120A">
              <w:rPr>
                <w:snapToGrid/>
                <w:lang w:val="zh-Hant" w:eastAsia="en-AU"/>
              </w:rPr>
              <w:t>館</w:t>
            </w:r>
          </w:p>
          <w:p w14:paraId="3219994C" w14:textId="50840D8F" w:rsidR="00733E43" w:rsidRPr="0064120A" w:rsidRDefault="00733E43" w:rsidP="00733E43">
            <w:pPr>
              <w:numPr>
                <w:ilvl w:val="0"/>
                <w:numId w:val="25"/>
              </w:numPr>
              <w:autoSpaceDE w:val="0"/>
              <w:autoSpaceDN w:val="0"/>
              <w:adjustRightInd w:val="0"/>
              <w:rPr>
                <w:snapToGrid/>
                <w:lang w:val="zh-Hant" w:eastAsia="zh-Hant"/>
              </w:rPr>
            </w:pPr>
            <w:r w:rsidRPr="0064120A">
              <w:rPr>
                <w:snapToGrid/>
                <w:lang w:val="zh-Hant" w:eastAsia="zh-Hant"/>
              </w:rPr>
              <w:t>蒸汽</w:t>
            </w:r>
            <w:r w:rsidRPr="0064120A">
              <w:rPr>
                <w:rFonts w:hint="eastAsia"/>
                <w:snapToGrid/>
                <w:lang w:val="zh-Hant" w:eastAsia="zh-Hant"/>
              </w:rPr>
              <w:t>類</w:t>
            </w:r>
            <w:r w:rsidRPr="0064120A">
              <w:rPr>
                <w:snapToGrid/>
                <w:lang w:val="zh-Hant" w:eastAsia="zh-Hant"/>
              </w:rPr>
              <w:t>服務</w:t>
            </w:r>
            <w:r w:rsidRPr="0064120A">
              <w:rPr>
                <w:rFonts w:hint="eastAsia"/>
                <w:snapToGrid/>
                <w:lang w:val="zh-Hant" w:eastAsia="zh-Hant"/>
              </w:rPr>
              <w:t>，</w:t>
            </w:r>
            <w:r w:rsidRPr="0064120A">
              <w:rPr>
                <w:snapToGrid/>
                <w:lang w:val="zh-Hant" w:eastAsia="zh-Hant"/>
              </w:rPr>
              <w:t>包括桑拿、蒸汽室、蒸汽櫃及浴</w:t>
            </w:r>
            <w:r w:rsidRPr="0064120A">
              <w:rPr>
                <w:rFonts w:hint="eastAsia"/>
                <w:snapToGrid/>
                <w:lang w:val="zh-Hant" w:eastAsia="zh-Hant"/>
              </w:rPr>
              <w:t>場</w:t>
            </w:r>
          </w:p>
          <w:p w14:paraId="785DCB10" w14:textId="39D89863" w:rsidR="00D907BE" w:rsidRPr="0064120A" w:rsidRDefault="00733E43" w:rsidP="00D907BE">
            <w:pPr>
              <w:numPr>
                <w:ilvl w:val="0"/>
                <w:numId w:val="25"/>
              </w:numPr>
              <w:autoSpaceDE w:val="0"/>
              <w:autoSpaceDN w:val="0"/>
              <w:adjustRightInd w:val="0"/>
              <w:rPr>
                <w:snapToGrid/>
                <w:lang w:val="zh-Hant" w:eastAsia="zh-Hant"/>
              </w:rPr>
            </w:pPr>
            <w:r w:rsidRPr="0064120A">
              <w:rPr>
                <w:rFonts w:hint="eastAsia"/>
                <w:snapToGrid/>
                <w:lang w:val="zh-Hant" w:eastAsia="zh-Hant"/>
              </w:rPr>
              <w:t>脫衣舞俱樂部、妓院、伴陪服務</w:t>
            </w:r>
          </w:p>
        </w:tc>
      </w:tr>
      <w:tr w:rsidR="00D907BE" w:rsidRPr="0064120A" w14:paraId="491A9757" w14:textId="77777777" w:rsidTr="00FE432F">
        <w:trPr>
          <w:trHeight w:val="595"/>
        </w:trPr>
        <w:tc>
          <w:tcPr>
            <w:tcW w:w="7343" w:type="dxa"/>
            <w:shd w:val="clear" w:color="auto" w:fill="auto"/>
            <w:vAlign w:val="center"/>
          </w:tcPr>
          <w:p w14:paraId="2197ABE0" w14:textId="189121E1" w:rsidR="00D907BE" w:rsidRPr="0064120A" w:rsidRDefault="00D907BE" w:rsidP="00D907BE">
            <w:pPr>
              <w:autoSpaceDE w:val="0"/>
              <w:autoSpaceDN w:val="0"/>
              <w:adjustRightInd w:val="0"/>
              <w:ind w:left="22"/>
              <w:rPr>
                <w:rFonts w:asciiTheme="minorBidi" w:eastAsia="SimSun" w:hAnsiTheme="minorBidi" w:cstheme="minorBidi"/>
                <w:snapToGrid/>
                <w:lang w:eastAsia="en-AU"/>
              </w:rPr>
            </w:pPr>
            <w:r w:rsidRPr="0064120A">
              <w:rPr>
                <w:rFonts w:asciiTheme="minorBidi" w:eastAsia="SimSun" w:hAnsiTheme="minorBidi" w:cstheme="minorBidi"/>
                <w:b/>
                <w:bCs/>
                <w:snapToGrid/>
                <w:lang w:eastAsia="en-AU"/>
              </w:rPr>
              <w:t>In addition, the following will apply:</w:t>
            </w:r>
          </w:p>
        </w:tc>
        <w:tc>
          <w:tcPr>
            <w:tcW w:w="7655" w:type="dxa"/>
            <w:shd w:val="clear" w:color="auto" w:fill="auto"/>
            <w:vAlign w:val="center"/>
          </w:tcPr>
          <w:p w14:paraId="52A96F2B" w14:textId="34C3D04A" w:rsidR="00D907BE" w:rsidRPr="0064120A" w:rsidRDefault="00D907BE" w:rsidP="00D907BE">
            <w:pPr>
              <w:rPr>
                <w:rFonts w:ascii="Pyidaungsu" w:hAnsi="Pyidaungsu" w:cs="Pyidaungsu"/>
              </w:rPr>
            </w:pPr>
            <w:proofErr w:type="spellStart"/>
            <w:r w:rsidRPr="0064120A">
              <w:rPr>
                <w:b/>
                <w:bCs/>
                <w:snapToGrid/>
                <w:lang w:val="zh-Hant" w:eastAsia="en-AU"/>
              </w:rPr>
              <w:t>此外</w:t>
            </w:r>
            <w:proofErr w:type="spellEnd"/>
            <w:r w:rsidR="00733E43" w:rsidRPr="0064120A">
              <w:rPr>
                <w:rFonts w:hint="eastAsia"/>
                <w:b/>
                <w:bCs/>
                <w:snapToGrid/>
                <w:lang w:val="zh-Hant"/>
              </w:rPr>
              <w:t>，有</w:t>
            </w:r>
            <w:proofErr w:type="spellStart"/>
            <w:r w:rsidRPr="0064120A">
              <w:rPr>
                <w:b/>
                <w:bCs/>
                <w:snapToGrid/>
                <w:lang w:val="zh-Hant" w:eastAsia="en-AU"/>
              </w:rPr>
              <w:t>以下</w:t>
            </w:r>
            <w:proofErr w:type="spellEnd"/>
            <w:r w:rsidR="00733E43" w:rsidRPr="0064120A">
              <w:rPr>
                <w:rFonts w:hint="eastAsia"/>
                <w:b/>
                <w:bCs/>
                <w:snapToGrid/>
                <w:lang w:val="zh-Hant"/>
              </w:rPr>
              <w:t>規定</w:t>
            </w:r>
            <w:r w:rsidRPr="0064120A">
              <w:rPr>
                <w:b/>
                <w:bCs/>
                <w:snapToGrid/>
                <w:lang w:val="zh-Hant" w:eastAsia="en-AU"/>
              </w:rPr>
              <w:t>:</w:t>
            </w:r>
          </w:p>
        </w:tc>
      </w:tr>
      <w:tr w:rsidR="00D907BE" w:rsidRPr="0064120A" w14:paraId="63A35C14" w14:textId="77777777" w:rsidTr="00FE432F">
        <w:trPr>
          <w:trHeight w:val="595"/>
        </w:trPr>
        <w:tc>
          <w:tcPr>
            <w:tcW w:w="7343" w:type="dxa"/>
            <w:shd w:val="clear" w:color="auto" w:fill="auto"/>
            <w:vAlign w:val="center"/>
          </w:tcPr>
          <w:p w14:paraId="1D340365" w14:textId="77777777" w:rsidR="00D907BE" w:rsidRPr="0064120A" w:rsidRDefault="00D907BE" w:rsidP="00D907BE">
            <w:pPr>
              <w:numPr>
                <w:ilvl w:val="0"/>
                <w:numId w:val="26"/>
              </w:numPr>
              <w:autoSpaceDE w:val="0"/>
              <w:autoSpaceDN w:val="0"/>
              <w:adjustRightInd w:val="0"/>
              <w:rPr>
                <w:rFonts w:asciiTheme="minorBidi" w:eastAsia="SimSun" w:hAnsiTheme="minorBidi" w:cstheme="minorBidi"/>
                <w:snapToGrid/>
                <w:lang w:eastAsia="en-AU"/>
              </w:rPr>
            </w:pPr>
            <w:r w:rsidRPr="0064120A">
              <w:rPr>
                <w:rFonts w:asciiTheme="minorBidi" w:eastAsia="SimSun" w:hAnsiTheme="minorBidi" w:cstheme="minorBidi"/>
                <w:snapToGrid/>
                <w:lang w:eastAsia="en-AU"/>
              </w:rPr>
              <w:t xml:space="preserve">Community sport activities can have a maximum of 100 spectators for each indoor and each outdoor space, where the one person per 4 square metre </w:t>
            </w:r>
            <w:proofErr w:type="gramStart"/>
            <w:r w:rsidRPr="0064120A">
              <w:rPr>
                <w:rFonts w:asciiTheme="minorBidi" w:eastAsia="SimSun" w:hAnsiTheme="minorBidi" w:cstheme="minorBidi"/>
                <w:snapToGrid/>
                <w:lang w:eastAsia="en-AU"/>
              </w:rPr>
              <w:t>rule</w:t>
            </w:r>
            <w:proofErr w:type="gramEnd"/>
            <w:r w:rsidRPr="0064120A">
              <w:rPr>
                <w:rFonts w:asciiTheme="minorBidi" w:eastAsia="SimSun" w:hAnsiTheme="minorBidi" w:cstheme="minorBidi"/>
                <w:snapToGrid/>
                <w:lang w:eastAsia="en-AU"/>
              </w:rPr>
              <w:t xml:space="preserve"> can be observed. This excludes staff and participants.</w:t>
            </w:r>
          </w:p>
          <w:p w14:paraId="6F730B36" w14:textId="77777777" w:rsidR="00D907BE" w:rsidRPr="0064120A" w:rsidRDefault="00D907BE" w:rsidP="00D907BE">
            <w:pPr>
              <w:numPr>
                <w:ilvl w:val="0"/>
                <w:numId w:val="26"/>
              </w:numPr>
              <w:autoSpaceDE w:val="0"/>
              <w:autoSpaceDN w:val="0"/>
              <w:adjustRightInd w:val="0"/>
              <w:rPr>
                <w:rFonts w:asciiTheme="minorBidi" w:eastAsia="SimSun" w:hAnsiTheme="minorBidi" w:cstheme="minorBidi"/>
                <w:snapToGrid/>
                <w:lang w:eastAsia="en-AU"/>
              </w:rPr>
            </w:pPr>
            <w:r w:rsidRPr="0064120A">
              <w:rPr>
                <w:rFonts w:asciiTheme="minorBidi" w:eastAsia="SimSun" w:hAnsiTheme="minorBidi" w:cstheme="minorBidi"/>
                <w:snapToGrid/>
                <w:lang w:eastAsia="en-AU"/>
              </w:rPr>
              <w:t xml:space="preserve">Bar, pubs and clubs </w:t>
            </w:r>
            <w:proofErr w:type="gramStart"/>
            <w:r w:rsidRPr="0064120A">
              <w:rPr>
                <w:rFonts w:asciiTheme="minorBidi" w:eastAsia="SimSun" w:hAnsiTheme="minorBidi" w:cstheme="minorBidi"/>
                <w:snapToGrid/>
                <w:lang w:eastAsia="en-AU"/>
              </w:rPr>
              <w:t>are able to</w:t>
            </w:r>
            <w:proofErr w:type="gramEnd"/>
            <w:r w:rsidRPr="0064120A">
              <w:rPr>
                <w:rFonts w:asciiTheme="minorBidi" w:eastAsia="SimSun" w:hAnsiTheme="minorBidi" w:cstheme="minorBidi"/>
                <w:snapToGrid/>
                <w:lang w:eastAsia="en-AU"/>
              </w:rPr>
              <w:t xml:space="preserve"> continue to serve alcohol to seated patrons, with no limit on the size of group bookings.</w:t>
            </w:r>
          </w:p>
          <w:p w14:paraId="796EC0A4" w14:textId="275228EA" w:rsidR="00D907BE" w:rsidRPr="0064120A" w:rsidRDefault="00D907BE" w:rsidP="00D907BE">
            <w:pPr>
              <w:numPr>
                <w:ilvl w:val="0"/>
                <w:numId w:val="26"/>
              </w:numPr>
              <w:autoSpaceDE w:val="0"/>
              <w:autoSpaceDN w:val="0"/>
              <w:adjustRightInd w:val="0"/>
              <w:rPr>
                <w:rFonts w:asciiTheme="minorBidi" w:eastAsia="SimSun" w:hAnsiTheme="minorBidi" w:cstheme="minorBidi"/>
                <w:snapToGrid/>
                <w:lang w:eastAsia="en-AU"/>
              </w:rPr>
            </w:pPr>
            <w:r w:rsidRPr="0064120A">
              <w:rPr>
                <w:rFonts w:asciiTheme="minorBidi" w:eastAsia="SimSun" w:hAnsiTheme="minorBidi" w:cstheme="minorBidi"/>
                <w:snapToGrid/>
                <w:lang w:eastAsia="en-AU"/>
              </w:rPr>
              <w:t>When gyms, health clubs and fitness facilities are unstaffed, a maximum of 25 patrons are permitted to be in the venue at any one time.</w:t>
            </w:r>
          </w:p>
        </w:tc>
        <w:tc>
          <w:tcPr>
            <w:tcW w:w="7655" w:type="dxa"/>
            <w:shd w:val="clear" w:color="auto" w:fill="auto"/>
            <w:vAlign w:val="center"/>
          </w:tcPr>
          <w:p w14:paraId="31A70D1C" w14:textId="7AD66326" w:rsidR="00D907BE" w:rsidRPr="0064120A" w:rsidRDefault="00F73E0A" w:rsidP="00D907BE">
            <w:pPr>
              <w:numPr>
                <w:ilvl w:val="0"/>
                <w:numId w:val="26"/>
              </w:numPr>
              <w:autoSpaceDE w:val="0"/>
              <w:autoSpaceDN w:val="0"/>
              <w:adjustRightInd w:val="0"/>
              <w:rPr>
                <w:rFonts w:asciiTheme="minorBidi" w:eastAsia="SimSun" w:hAnsiTheme="minorBidi" w:cstheme="minorBidi"/>
                <w:snapToGrid/>
              </w:rPr>
            </w:pPr>
            <w:r w:rsidRPr="0064120A">
              <w:rPr>
                <w:rFonts w:hint="eastAsia"/>
                <w:snapToGrid/>
                <w:lang w:val="zh-Hant"/>
              </w:rPr>
              <w:t>社區體育運動</w:t>
            </w:r>
            <w:r w:rsidR="00347DFF" w:rsidRPr="0064120A">
              <w:rPr>
                <w:rFonts w:hint="eastAsia"/>
                <w:snapToGrid/>
                <w:lang w:val="zh-Hant"/>
              </w:rPr>
              <w:t>，若可遵循每</w:t>
            </w:r>
            <w:r w:rsidR="00347DFF" w:rsidRPr="0064120A">
              <w:rPr>
                <w:snapToGrid/>
                <w:lang w:val="zh-Hant"/>
              </w:rPr>
              <w:t>4</w:t>
            </w:r>
            <w:r w:rsidR="00347DFF" w:rsidRPr="0064120A">
              <w:rPr>
                <w:rFonts w:hint="eastAsia"/>
                <w:snapToGrid/>
                <w:lang w:val="zh-Hant"/>
              </w:rPr>
              <w:t>平方米僅容一人的原則，</w:t>
            </w:r>
            <w:r w:rsidRPr="0064120A">
              <w:rPr>
                <w:rFonts w:hint="eastAsia"/>
                <w:snapToGrid/>
                <w:lang w:val="zh-Hant"/>
              </w:rPr>
              <w:t>每</w:t>
            </w:r>
            <w:r w:rsidR="00347DFF" w:rsidRPr="0064120A">
              <w:rPr>
                <w:rFonts w:hint="eastAsia"/>
                <w:snapToGrid/>
                <w:lang w:val="zh-Hant"/>
              </w:rPr>
              <w:t>一</w:t>
            </w:r>
            <w:r w:rsidRPr="0064120A">
              <w:rPr>
                <w:rFonts w:hint="eastAsia"/>
                <w:snapToGrid/>
                <w:lang w:val="zh-Hant"/>
              </w:rPr>
              <w:t>室内及室外活動空間的人數可多至</w:t>
            </w:r>
            <w:r w:rsidRPr="0064120A">
              <w:rPr>
                <w:rFonts w:hint="eastAsia"/>
                <w:snapToGrid/>
                <w:lang w:val="zh-Hant"/>
              </w:rPr>
              <w:t>100</w:t>
            </w:r>
            <w:r w:rsidRPr="0064120A">
              <w:rPr>
                <w:rFonts w:hint="eastAsia"/>
                <w:snapToGrid/>
                <w:lang w:val="zh-Hant"/>
              </w:rPr>
              <w:t>人。此限額不包括職員及活動參與者。</w:t>
            </w:r>
            <w:r w:rsidR="009F302C" w:rsidRPr="0064120A">
              <w:rPr>
                <w:rFonts w:hint="eastAsia"/>
                <w:snapToGrid/>
                <w:lang w:val="zh-Hant"/>
              </w:rPr>
              <w:t xml:space="preserve"> </w:t>
            </w:r>
          </w:p>
          <w:p w14:paraId="70AEA829" w14:textId="6C1E9B55" w:rsidR="00D907BE" w:rsidRPr="0064120A" w:rsidRDefault="00D907BE" w:rsidP="00D907BE">
            <w:pPr>
              <w:numPr>
                <w:ilvl w:val="0"/>
                <w:numId w:val="26"/>
              </w:numPr>
              <w:autoSpaceDE w:val="0"/>
              <w:autoSpaceDN w:val="0"/>
              <w:adjustRightInd w:val="0"/>
              <w:rPr>
                <w:rFonts w:asciiTheme="minorBidi" w:eastAsia="SimSun" w:hAnsiTheme="minorBidi" w:cstheme="minorBidi"/>
                <w:snapToGrid/>
              </w:rPr>
            </w:pPr>
            <w:r w:rsidRPr="0064120A">
              <w:rPr>
                <w:snapToGrid/>
                <w:lang w:val="zh-Hant"/>
              </w:rPr>
              <w:t>酒吧、</w:t>
            </w:r>
            <w:r w:rsidR="00DB3D4E" w:rsidRPr="0064120A">
              <w:rPr>
                <w:rFonts w:hint="eastAsia"/>
                <w:snapToGrid/>
                <w:lang w:val="zh-Hant"/>
              </w:rPr>
              <w:t>酒棧及</w:t>
            </w:r>
            <w:r w:rsidRPr="0064120A">
              <w:rPr>
                <w:snapToGrid/>
                <w:lang w:val="zh-Hant"/>
              </w:rPr>
              <w:t>俱樂部可</w:t>
            </w:r>
            <w:r w:rsidR="00DB3D4E" w:rsidRPr="0064120A">
              <w:rPr>
                <w:rFonts w:hint="eastAsia"/>
                <w:snapToGrid/>
                <w:lang w:val="zh-Hant"/>
              </w:rPr>
              <w:t>繼續向</w:t>
            </w:r>
            <w:r w:rsidR="00347DFF" w:rsidRPr="0064120A">
              <w:rPr>
                <w:rFonts w:hint="eastAsia"/>
                <w:snapToGrid/>
                <w:lang w:val="zh-Hant"/>
              </w:rPr>
              <w:t>就席</w:t>
            </w:r>
            <w:r w:rsidR="00DB3D4E" w:rsidRPr="0064120A">
              <w:rPr>
                <w:rFonts w:hint="eastAsia"/>
                <w:snapToGrid/>
                <w:lang w:val="zh-Hant"/>
              </w:rPr>
              <w:t>賓客供應</w:t>
            </w:r>
            <w:r w:rsidR="00DB3D4E" w:rsidRPr="0064120A">
              <w:rPr>
                <w:snapToGrid/>
                <w:lang w:val="zh-Hant"/>
              </w:rPr>
              <w:t>酒</w:t>
            </w:r>
            <w:r w:rsidR="00DB3D4E" w:rsidRPr="0064120A">
              <w:rPr>
                <w:rFonts w:hint="eastAsia"/>
                <w:snapToGrid/>
                <w:lang w:val="zh-Hant"/>
              </w:rPr>
              <w:t>類飲品，集體</w:t>
            </w:r>
            <w:r w:rsidR="00347DFF" w:rsidRPr="0064120A">
              <w:rPr>
                <w:rFonts w:hint="eastAsia"/>
                <w:snapToGrid/>
                <w:lang w:val="zh-Hant"/>
              </w:rPr>
              <w:t>訂座的</w:t>
            </w:r>
            <w:r w:rsidR="00DB3D4E" w:rsidRPr="0064120A">
              <w:rPr>
                <w:rFonts w:hint="eastAsia"/>
                <w:snapToGrid/>
                <w:lang w:val="zh-Hant"/>
              </w:rPr>
              <w:t>賓客人數不限。</w:t>
            </w:r>
          </w:p>
          <w:p w14:paraId="28E13B0E" w14:textId="403BFE9F" w:rsidR="00D907BE" w:rsidRPr="0064120A" w:rsidRDefault="00D907BE" w:rsidP="00DB3D4E">
            <w:pPr>
              <w:numPr>
                <w:ilvl w:val="0"/>
                <w:numId w:val="26"/>
              </w:numPr>
              <w:autoSpaceDE w:val="0"/>
              <w:autoSpaceDN w:val="0"/>
              <w:adjustRightInd w:val="0"/>
              <w:rPr>
                <w:rFonts w:ascii="Pyidaungsu" w:hAnsi="Pyidaungsu" w:cs="Pyidaungsu"/>
              </w:rPr>
            </w:pPr>
            <w:r w:rsidRPr="0064120A">
              <w:rPr>
                <w:snapToGrid/>
                <w:lang w:val="zh-Hant"/>
              </w:rPr>
              <w:t>健身房、健身俱樂部</w:t>
            </w:r>
            <w:r w:rsidR="00DB3D4E" w:rsidRPr="0064120A">
              <w:rPr>
                <w:snapToGrid/>
                <w:lang w:val="zh-Hant"/>
              </w:rPr>
              <w:t>及</w:t>
            </w:r>
            <w:r w:rsidR="00DB3D4E" w:rsidRPr="0064120A">
              <w:rPr>
                <w:rFonts w:hint="eastAsia"/>
                <w:snapToGrid/>
                <w:lang w:val="zh-Hant"/>
              </w:rPr>
              <w:t>健美</w:t>
            </w:r>
            <w:r w:rsidRPr="0064120A">
              <w:rPr>
                <w:snapToGrid/>
                <w:lang w:val="zh-Hant"/>
              </w:rPr>
              <w:t>設施</w:t>
            </w:r>
            <w:r w:rsidR="00DB3D4E" w:rsidRPr="0064120A">
              <w:rPr>
                <w:rFonts w:hint="eastAsia"/>
                <w:snapToGrid/>
                <w:lang w:val="zh-Hant"/>
              </w:rPr>
              <w:t>在無職員當</w:t>
            </w:r>
            <w:r w:rsidRPr="0064120A">
              <w:rPr>
                <w:snapToGrid/>
                <w:lang w:val="zh-Hant"/>
              </w:rPr>
              <w:t>值</w:t>
            </w:r>
            <w:r w:rsidR="00DB3D4E" w:rsidRPr="0064120A">
              <w:rPr>
                <w:rFonts w:hint="eastAsia"/>
                <w:snapToGrid/>
                <w:lang w:val="zh-Hant"/>
              </w:rPr>
              <w:t>的情況下，</w:t>
            </w:r>
            <w:r w:rsidR="00DB3D4E" w:rsidRPr="0064120A">
              <w:rPr>
                <w:rFonts w:hint="eastAsia"/>
                <w:snapToGrid/>
              </w:rPr>
              <w:t>同一時間内的賓客人數不得超過</w:t>
            </w:r>
            <w:r w:rsidR="00DB3D4E" w:rsidRPr="0064120A">
              <w:rPr>
                <w:snapToGrid/>
              </w:rPr>
              <w:t>25</w:t>
            </w:r>
            <w:r w:rsidR="00DB3D4E" w:rsidRPr="0064120A">
              <w:rPr>
                <w:rFonts w:hint="eastAsia"/>
                <w:snapToGrid/>
              </w:rPr>
              <w:t>人</w:t>
            </w:r>
            <w:r w:rsidR="00DB3D4E" w:rsidRPr="0064120A">
              <w:rPr>
                <w:snapToGrid/>
              </w:rPr>
              <w:t>。</w:t>
            </w:r>
          </w:p>
        </w:tc>
      </w:tr>
      <w:tr w:rsidR="00D907BE" w:rsidRPr="0064120A" w14:paraId="79500E21" w14:textId="77777777" w:rsidTr="003375B7">
        <w:trPr>
          <w:trHeight w:val="1825"/>
        </w:trPr>
        <w:tc>
          <w:tcPr>
            <w:tcW w:w="7343" w:type="dxa"/>
            <w:shd w:val="clear" w:color="auto" w:fill="auto"/>
            <w:vAlign w:val="center"/>
          </w:tcPr>
          <w:p w14:paraId="05D57857" w14:textId="77777777" w:rsidR="00D907BE" w:rsidRPr="0064120A" w:rsidRDefault="00D907BE" w:rsidP="00D907BE">
            <w:pPr>
              <w:numPr>
                <w:ilvl w:val="0"/>
                <w:numId w:val="26"/>
              </w:numPr>
              <w:autoSpaceDE w:val="0"/>
              <w:autoSpaceDN w:val="0"/>
              <w:adjustRightInd w:val="0"/>
              <w:rPr>
                <w:rFonts w:asciiTheme="minorBidi" w:eastAsia="SimSun" w:hAnsiTheme="minorBidi" w:cstheme="minorBidi"/>
                <w:snapToGrid/>
                <w:lang w:eastAsia="en-AU"/>
              </w:rPr>
            </w:pPr>
            <w:r w:rsidRPr="0064120A">
              <w:rPr>
                <w:rFonts w:asciiTheme="minorBidi" w:eastAsia="SimSun" w:hAnsiTheme="minorBidi" w:cstheme="minorBidi"/>
                <w:snapToGrid/>
                <w:lang w:eastAsia="en-AU"/>
              </w:rPr>
              <w:lastRenderedPageBreak/>
              <w:t>All venues, facilities and businesses must clearly display occupancy allowance at entrance to each venue or space.</w:t>
            </w:r>
          </w:p>
          <w:p w14:paraId="3C1FA984" w14:textId="2CCA9FC7" w:rsidR="00D907BE" w:rsidRPr="0064120A" w:rsidRDefault="00D907BE" w:rsidP="00D907BE">
            <w:pPr>
              <w:numPr>
                <w:ilvl w:val="0"/>
                <w:numId w:val="26"/>
              </w:numPr>
              <w:autoSpaceDE w:val="0"/>
              <w:autoSpaceDN w:val="0"/>
              <w:adjustRightInd w:val="0"/>
              <w:rPr>
                <w:rFonts w:asciiTheme="minorBidi" w:eastAsia="SimSun" w:hAnsiTheme="minorBidi" w:cstheme="minorBidi"/>
                <w:b/>
                <w:bCs/>
                <w:snapToGrid/>
                <w:lang w:eastAsia="en-AU"/>
              </w:rPr>
            </w:pPr>
            <w:r w:rsidRPr="0064120A">
              <w:rPr>
                <w:rFonts w:asciiTheme="minorBidi" w:eastAsia="SimSun" w:hAnsiTheme="minorBidi" w:cstheme="minorBidi"/>
                <w:snapToGrid/>
                <w:lang w:eastAsia="en-AU"/>
              </w:rPr>
              <w:t>Venues, facilities and businesses which can now reopen must develop and follow a </w:t>
            </w:r>
            <w:hyperlink r:id="rId14" w:history="1">
              <w:r w:rsidRPr="0064120A">
                <w:rPr>
                  <w:rStyle w:val="Hyperlink"/>
                  <w:rFonts w:asciiTheme="minorBidi" w:eastAsia="SimSun" w:hAnsiTheme="minorBidi" w:cstheme="minorBidi"/>
                  <w:snapToGrid/>
                  <w:lang w:eastAsia="en-AU"/>
                </w:rPr>
                <w:t>COVID Safety Plan</w:t>
              </w:r>
            </w:hyperlink>
            <w:r w:rsidRPr="0064120A">
              <w:rPr>
                <w:rFonts w:asciiTheme="minorBidi" w:eastAsia="SimSun" w:hAnsiTheme="minorBidi" w:cstheme="minorBidi"/>
                <w:snapToGrid/>
                <w:lang w:eastAsia="en-AU"/>
              </w:rPr>
              <w:t>.</w:t>
            </w:r>
          </w:p>
        </w:tc>
        <w:tc>
          <w:tcPr>
            <w:tcW w:w="7655" w:type="dxa"/>
            <w:shd w:val="clear" w:color="auto" w:fill="auto"/>
            <w:vAlign w:val="center"/>
          </w:tcPr>
          <w:p w14:paraId="0AD83367" w14:textId="0ADB5771" w:rsidR="00D907BE" w:rsidRPr="0064120A" w:rsidRDefault="00D907BE" w:rsidP="00D907BE">
            <w:pPr>
              <w:numPr>
                <w:ilvl w:val="0"/>
                <w:numId w:val="26"/>
              </w:numPr>
              <w:autoSpaceDE w:val="0"/>
              <w:autoSpaceDN w:val="0"/>
              <w:adjustRightInd w:val="0"/>
              <w:rPr>
                <w:rFonts w:asciiTheme="minorBidi" w:eastAsia="SimSun" w:hAnsiTheme="minorBidi" w:cstheme="minorBidi"/>
                <w:snapToGrid/>
              </w:rPr>
            </w:pPr>
            <w:r w:rsidRPr="0064120A">
              <w:rPr>
                <w:snapToGrid/>
                <w:lang w:val="zh-Hant"/>
              </w:rPr>
              <w:t>所有</w:t>
            </w:r>
            <w:r w:rsidR="00294A23" w:rsidRPr="0064120A">
              <w:rPr>
                <w:rFonts w:hint="eastAsia"/>
                <w:snapToGrid/>
                <w:lang w:val="zh-Hant"/>
              </w:rPr>
              <w:t>場館</w:t>
            </w:r>
            <w:r w:rsidRPr="0064120A">
              <w:rPr>
                <w:snapToGrid/>
                <w:lang w:val="zh-Hant"/>
              </w:rPr>
              <w:t>、設施</w:t>
            </w:r>
            <w:r w:rsidR="00DB3D4E" w:rsidRPr="0064120A">
              <w:rPr>
                <w:snapToGrid/>
                <w:lang w:val="zh-Hant"/>
              </w:rPr>
              <w:t>及</w:t>
            </w:r>
            <w:r w:rsidR="00294A23" w:rsidRPr="0064120A">
              <w:rPr>
                <w:rFonts w:hint="eastAsia"/>
                <w:snapToGrid/>
                <w:lang w:val="zh-Hant"/>
              </w:rPr>
              <w:t>商企</w:t>
            </w:r>
            <w:r w:rsidR="00C62CC5" w:rsidRPr="0064120A">
              <w:rPr>
                <w:rFonts w:hint="eastAsia"/>
                <w:snapToGrid/>
                <w:lang w:val="zh-Hant"/>
              </w:rPr>
              <w:t>的</w:t>
            </w:r>
            <w:r w:rsidR="00294A23" w:rsidRPr="0064120A">
              <w:rPr>
                <w:rFonts w:hint="eastAsia"/>
                <w:snapToGrid/>
                <w:lang w:val="zh-Hant"/>
              </w:rPr>
              <w:t>各營業點或服務空間入口處均</w:t>
            </w:r>
            <w:r w:rsidR="00C62CC5" w:rsidRPr="0064120A">
              <w:rPr>
                <w:rFonts w:hint="eastAsia"/>
                <w:snapToGrid/>
                <w:lang w:val="zh-Hant"/>
              </w:rPr>
              <w:t>須</w:t>
            </w:r>
            <w:r w:rsidR="00294A23" w:rsidRPr="0064120A">
              <w:rPr>
                <w:rFonts w:hint="eastAsia"/>
                <w:snapToGrid/>
                <w:lang w:val="zh-Hant"/>
              </w:rPr>
              <w:t>設有</w:t>
            </w:r>
            <w:r w:rsidR="00B17504" w:rsidRPr="0064120A">
              <w:rPr>
                <w:rFonts w:hint="eastAsia"/>
                <w:snapToGrid/>
                <w:lang w:val="zh-Hant"/>
              </w:rPr>
              <w:t>榜</w:t>
            </w:r>
            <w:r w:rsidR="00C62CC5" w:rsidRPr="0064120A">
              <w:rPr>
                <w:rFonts w:hint="eastAsia"/>
                <w:snapToGrid/>
                <w:lang w:val="zh-Hant"/>
              </w:rPr>
              <w:t>帖</w:t>
            </w:r>
            <w:r w:rsidR="00294A23" w:rsidRPr="0064120A">
              <w:rPr>
                <w:rFonts w:hint="eastAsia"/>
                <w:snapToGrid/>
                <w:lang w:val="zh-Hant"/>
              </w:rPr>
              <w:t>，清楚寫明入内人數的限額</w:t>
            </w:r>
            <w:r w:rsidR="00294A23" w:rsidRPr="0064120A">
              <w:rPr>
                <w:rFonts w:hint="eastAsia"/>
                <w:snapToGrid/>
                <w:lang w:val="zh-Hant"/>
              </w:rPr>
              <w:t>.</w:t>
            </w:r>
          </w:p>
          <w:p w14:paraId="25B70538" w14:textId="63678C05" w:rsidR="00D907BE" w:rsidRPr="0064120A" w:rsidRDefault="00294A23" w:rsidP="00294A23">
            <w:pPr>
              <w:numPr>
                <w:ilvl w:val="0"/>
                <w:numId w:val="26"/>
              </w:numPr>
              <w:autoSpaceDE w:val="0"/>
              <w:autoSpaceDN w:val="0"/>
              <w:adjustRightInd w:val="0"/>
              <w:rPr>
                <w:rFonts w:asciiTheme="minorBidi" w:hAnsiTheme="minorBidi" w:cstheme="minorBidi"/>
              </w:rPr>
            </w:pPr>
            <w:r w:rsidRPr="0064120A">
              <w:rPr>
                <w:rFonts w:hint="eastAsia"/>
                <w:snapToGrid/>
                <w:lang w:eastAsia="zh-TW"/>
              </w:rPr>
              <w:t>所</w:t>
            </w:r>
            <w:r w:rsidR="002A4F20">
              <w:rPr>
                <w:rFonts w:hint="eastAsia"/>
                <w:snapToGrid/>
                <w:lang w:eastAsia="zh-TW"/>
              </w:rPr>
              <w:t>有</w:t>
            </w:r>
            <w:r w:rsidRPr="0064120A">
              <w:rPr>
                <w:rFonts w:hint="eastAsia"/>
                <w:snapToGrid/>
                <w:lang w:eastAsia="zh-TW"/>
              </w:rPr>
              <w:t>現時可以重新營業的場館、</w:t>
            </w:r>
            <w:proofErr w:type="spellStart"/>
            <w:r w:rsidR="00D907BE" w:rsidRPr="0064120A">
              <w:rPr>
                <w:snapToGrid/>
                <w:lang w:val="zh-Hant" w:eastAsia="en-AU"/>
              </w:rPr>
              <w:t>設施</w:t>
            </w:r>
            <w:r w:rsidR="00DB3D4E" w:rsidRPr="0064120A">
              <w:rPr>
                <w:snapToGrid/>
                <w:lang w:val="zh-Hant" w:eastAsia="en-AU"/>
              </w:rPr>
              <w:t>及</w:t>
            </w:r>
            <w:r w:rsidRPr="0064120A">
              <w:rPr>
                <w:snapToGrid/>
                <w:lang w:val="zh-Hant" w:eastAsia="en-AU"/>
              </w:rPr>
              <w:t>商企</w:t>
            </w:r>
            <w:r w:rsidRPr="0064120A">
              <w:rPr>
                <w:rFonts w:hint="eastAsia"/>
                <w:snapToGrid/>
                <w:lang w:val="zh-Hant" w:eastAsia="en-AU"/>
              </w:rPr>
              <w:t>均須備有一份</w:t>
            </w:r>
            <w:proofErr w:type="spellEnd"/>
            <w:r w:rsidR="0094638A">
              <w:fldChar w:fldCharType="begin"/>
            </w:r>
            <w:r w:rsidR="0094638A">
              <w:instrText xml:space="preserve"> HYPERLINK "https://www.covid19.act.gov.au/__data/assets/pdf_file/0007/1554199/CV_Safety-Plan-Guidelines_2.2_Final-19062020.pdf" </w:instrText>
            </w:r>
            <w:r w:rsidR="0094638A">
              <w:fldChar w:fldCharType="separate"/>
            </w:r>
            <w:r w:rsidRPr="0064120A">
              <w:rPr>
                <w:rStyle w:val="Hyperlink"/>
                <w:rFonts w:hint="eastAsia"/>
                <w:snapToGrid/>
                <w:lang w:val="zh-Hant" w:eastAsia="en-AU"/>
              </w:rPr>
              <w:t>「</w:t>
            </w:r>
            <w:r w:rsidRPr="0064120A">
              <w:rPr>
                <w:rStyle w:val="Hyperlink"/>
                <w:snapToGrid/>
                <w:lang w:val="zh-Hant" w:eastAsia="en-AU"/>
              </w:rPr>
              <w:t>COVID</w:t>
            </w:r>
            <w:proofErr w:type="spellStart"/>
            <w:r w:rsidRPr="0064120A">
              <w:rPr>
                <w:rStyle w:val="Hyperlink"/>
                <w:rFonts w:hint="eastAsia"/>
                <w:snapToGrid/>
                <w:lang w:val="zh-Hant" w:eastAsia="en-AU"/>
              </w:rPr>
              <w:t>安全計劃</w:t>
            </w:r>
            <w:proofErr w:type="spellEnd"/>
            <w:r w:rsidRPr="0064120A">
              <w:rPr>
                <w:rStyle w:val="Hyperlink"/>
                <w:rFonts w:hint="eastAsia"/>
                <w:snapToGrid/>
                <w:lang w:val="zh-Hant" w:eastAsia="en-AU"/>
              </w:rPr>
              <w:t>」</w:t>
            </w:r>
            <w:r w:rsidRPr="0064120A">
              <w:rPr>
                <w:rStyle w:val="Hyperlink"/>
                <w:snapToGrid/>
                <w:lang w:val="zh-Hant" w:eastAsia="en-AU"/>
              </w:rPr>
              <w:t>(COVID Safety Plan)</w:t>
            </w:r>
            <w:r w:rsidR="0094638A">
              <w:rPr>
                <w:rStyle w:val="Hyperlink"/>
                <w:snapToGrid/>
                <w:lang w:val="zh-Hant" w:eastAsia="en-AU"/>
              </w:rPr>
              <w:fldChar w:fldCharType="end"/>
            </w:r>
            <w:r w:rsidRPr="0064120A">
              <w:rPr>
                <w:rFonts w:hint="eastAsia"/>
                <w:snapToGrid/>
                <w:lang w:val="zh-Hant" w:eastAsia="en-AU"/>
              </w:rPr>
              <w:t>，</w:t>
            </w:r>
            <w:r w:rsidR="00D907BE" w:rsidRPr="0064120A">
              <w:rPr>
                <w:snapToGrid/>
                <w:lang w:val="zh-Hant" w:eastAsia="en-AU"/>
              </w:rPr>
              <w:t>並</w:t>
            </w:r>
            <w:r w:rsidRPr="0064120A">
              <w:rPr>
                <w:rFonts w:hint="eastAsia"/>
                <w:snapToGrid/>
              </w:rPr>
              <w:t>嚴格執行此計劃。</w:t>
            </w:r>
          </w:p>
        </w:tc>
      </w:tr>
      <w:tr w:rsidR="00D907BE" w:rsidRPr="0064120A" w14:paraId="3DF5DD6A" w14:textId="77777777" w:rsidTr="00FE432F">
        <w:trPr>
          <w:trHeight w:val="595"/>
        </w:trPr>
        <w:tc>
          <w:tcPr>
            <w:tcW w:w="7343" w:type="dxa"/>
            <w:shd w:val="clear" w:color="auto" w:fill="auto"/>
            <w:vAlign w:val="center"/>
          </w:tcPr>
          <w:p w14:paraId="0D105CDC" w14:textId="268E9079" w:rsidR="00D907BE" w:rsidRPr="0064120A" w:rsidRDefault="00D907BE" w:rsidP="00D907BE">
            <w:pPr>
              <w:autoSpaceDE w:val="0"/>
              <w:autoSpaceDN w:val="0"/>
              <w:adjustRightInd w:val="0"/>
              <w:ind w:left="22"/>
              <w:rPr>
                <w:rFonts w:asciiTheme="minorBidi" w:eastAsia="SimSun" w:hAnsiTheme="minorBidi" w:cstheme="minorBidi"/>
                <w:snapToGrid/>
                <w:lang w:eastAsia="en-AU"/>
              </w:rPr>
            </w:pPr>
            <w:r w:rsidRPr="0064120A">
              <w:rPr>
                <w:rFonts w:asciiTheme="minorBidi" w:eastAsia="SimSun" w:hAnsiTheme="minorBidi" w:cstheme="minorBidi"/>
                <w:b/>
                <w:bCs/>
                <w:snapToGrid/>
                <w:lang w:eastAsia="en-AU"/>
              </w:rPr>
              <w:t>What stays the same</w:t>
            </w:r>
          </w:p>
        </w:tc>
        <w:tc>
          <w:tcPr>
            <w:tcW w:w="7655" w:type="dxa"/>
            <w:shd w:val="clear" w:color="auto" w:fill="auto"/>
            <w:vAlign w:val="center"/>
          </w:tcPr>
          <w:p w14:paraId="47C7257C" w14:textId="4AE679B4" w:rsidR="00D907BE" w:rsidRPr="0064120A" w:rsidRDefault="00F479C9" w:rsidP="00D907BE">
            <w:pPr>
              <w:rPr>
                <w:rFonts w:asciiTheme="minorBidi" w:hAnsiTheme="minorBidi" w:cstheme="minorBidi"/>
              </w:rPr>
            </w:pPr>
            <w:r w:rsidRPr="0064120A">
              <w:rPr>
                <w:rFonts w:hint="eastAsia"/>
                <w:b/>
                <w:bCs/>
                <w:snapToGrid/>
                <w:lang w:val="zh-Hant"/>
              </w:rPr>
              <w:t>仍無變動的措施</w:t>
            </w:r>
          </w:p>
        </w:tc>
      </w:tr>
      <w:tr w:rsidR="00D907BE" w:rsidRPr="0064120A" w14:paraId="55AA8C49" w14:textId="77777777" w:rsidTr="00FE432F">
        <w:trPr>
          <w:trHeight w:val="595"/>
        </w:trPr>
        <w:tc>
          <w:tcPr>
            <w:tcW w:w="7343" w:type="dxa"/>
            <w:shd w:val="clear" w:color="auto" w:fill="auto"/>
            <w:vAlign w:val="center"/>
          </w:tcPr>
          <w:p w14:paraId="4CA6D74D" w14:textId="7FA5356D" w:rsidR="00D907BE" w:rsidRPr="0064120A" w:rsidRDefault="00D907BE" w:rsidP="00D907BE">
            <w:pPr>
              <w:autoSpaceDE w:val="0"/>
              <w:autoSpaceDN w:val="0"/>
              <w:adjustRightInd w:val="0"/>
              <w:ind w:left="22"/>
              <w:rPr>
                <w:rFonts w:asciiTheme="minorBidi" w:eastAsia="SimSun" w:hAnsiTheme="minorBidi" w:cstheme="minorBidi"/>
                <w:snapToGrid/>
                <w:lang w:eastAsia="en-AU"/>
              </w:rPr>
            </w:pPr>
            <w:r w:rsidRPr="0064120A">
              <w:rPr>
                <w:rFonts w:asciiTheme="minorBidi" w:eastAsia="SimSun" w:hAnsiTheme="minorBidi" w:cstheme="minorBidi"/>
                <w:snapToGrid/>
                <w:lang w:eastAsia="en-AU"/>
              </w:rPr>
              <w:t>All requirements under </w:t>
            </w:r>
            <w:r w:rsidRPr="0064120A">
              <w:rPr>
                <w:rFonts w:asciiTheme="minorBidi" w:eastAsia="SimSun" w:hAnsiTheme="minorBidi" w:cstheme="minorBidi"/>
                <w:b/>
                <w:bCs/>
                <w:snapToGrid/>
                <w:lang w:eastAsia="en-AU"/>
              </w:rPr>
              <w:t>Step 2.2</w:t>
            </w:r>
            <w:r w:rsidRPr="0064120A">
              <w:rPr>
                <w:rFonts w:asciiTheme="minorBidi" w:eastAsia="SimSun" w:hAnsiTheme="minorBidi" w:cstheme="minorBidi"/>
                <w:snapToGrid/>
                <w:lang w:eastAsia="en-AU"/>
              </w:rPr>
              <w:t> remain in place, in particular:</w:t>
            </w:r>
          </w:p>
        </w:tc>
        <w:tc>
          <w:tcPr>
            <w:tcW w:w="7655" w:type="dxa"/>
            <w:shd w:val="clear" w:color="auto" w:fill="auto"/>
            <w:vAlign w:val="center"/>
          </w:tcPr>
          <w:p w14:paraId="379E7991" w14:textId="5A35A8A5" w:rsidR="00D907BE" w:rsidRPr="0064120A" w:rsidRDefault="00B4194E" w:rsidP="00D907BE">
            <w:pPr>
              <w:rPr>
                <w:rFonts w:asciiTheme="minorBidi" w:hAnsiTheme="minorBidi" w:cstheme="minorBidi"/>
              </w:rPr>
            </w:pPr>
            <w:r w:rsidRPr="0064120A">
              <w:rPr>
                <w:rFonts w:hint="eastAsia"/>
                <w:b/>
                <w:bCs/>
                <w:snapToGrid/>
                <w:lang w:val="zh-Hant"/>
              </w:rPr>
              <w:t>第</w:t>
            </w:r>
            <w:r w:rsidR="00D907BE" w:rsidRPr="0064120A">
              <w:rPr>
                <w:b/>
                <w:bCs/>
                <w:snapToGrid/>
                <w:lang w:val="zh-Hant" w:eastAsia="en-AU"/>
              </w:rPr>
              <w:t>2.2</w:t>
            </w:r>
            <w:r w:rsidRPr="0064120A">
              <w:rPr>
                <w:rFonts w:hint="eastAsia"/>
                <w:b/>
                <w:bCs/>
                <w:snapToGrid/>
                <w:lang w:val="zh-Hant"/>
              </w:rPr>
              <w:t>步</w:t>
            </w:r>
            <w:r w:rsidRPr="0064120A">
              <w:rPr>
                <w:rFonts w:hint="eastAsia"/>
                <w:snapToGrid/>
                <w:lang w:val="zh-Hant"/>
              </w:rPr>
              <w:t>中的</w:t>
            </w:r>
            <w:proofErr w:type="spellStart"/>
            <w:r w:rsidR="00D907BE" w:rsidRPr="0064120A">
              <w:rPr>
                <w:snapToGrid/>
                <w:lang w:val="zh-Hant" w:eastAsia="en-AU"/>
              </w:rPr>
              <w:t>所有</w:t>
            </w:r>
            <w:proofErr w:type="spellEnd"/>
            <w:r w:rsidRPr="0064120A">
              <w:rPr>
                <w:rFonts w:hint="eastAsia"/>
                <w:snapToGrid/>
                <w:lang w:val="zh-Hant"/>
              </w:rPr>
              <w:t>措施仍舊無變，</w:t>
            </w:r>
            <w:r w:rsidR="00C62CC5" w:rsidRPr="0064120A">
              <w:rPr>
                <w:rFonts w:hint="eastAsia"/>
                <w:snapToGrid/>
                <w:lang w:val="zh-Hant"/>
              </w:rPr>
              <w:t>具體有</w:t>
            </w:r>
            <w:r w:rsidRPr="0064120A">
              <w:rPr>
                <w:rFonts w:hint="eastAsia"/>
                <w:snapToGrid/>
                <w:lang w:val="zh-Hant"/>
              </w:rPr>
              <w:t>以下幾點</w:t>
            </w:r>
            <w:r w:rsidR="00D907BE" w:rsidRPr="0064120A">
              <w:rPr>
                <w:snapToGrid/>
                <w:lang w:val="zh-Hant" w:eastAsia="en-AU"/>
              </w:rPr>
              <w:t>:</w:t>
            </w:r>
          </w:p>
        </w:tc>
      </w:tr>
      <w:tr w:rsidR="00D907BE" w:rsidRPr="0064120A" w14:paraId="5BB9DFBF" w14:textId="77777777" w:rsidTr="00FE432F">
        <w:trPr>
          <w:trHeight w:val="2184"/>
        </w:trPr>
        <w:tc>
          <w:tcPr>
            <w:tcW w:w="7343" w:type="dxa"/>
            <w:shd w:val="clear" w:color="auto" w:fill="auto"/>
            <w:vAlign w:val="center"/>
          </w:tcPr>
          <w:p w14:paraId="5143ABCB" w14:textId="77777777" w:rsidR="00D907BE" w:rsidRPr="0064120A" w:rsidRDefault="00D907BE" w:rsidP="00D907BE">
            <w:pPr>
              <w:numPr>
                <w:ilvl w:val="0"/>
                <w:numId w:val="27"/>
              </w:numPr>
              <w:autoSpaceDE w:val="0"/>
              <w:autoSpaceDN w:val="0"/>
              <w:adjustRightInd w:val="0"/>
              <w:rPr>
                <w:rFonts w:asciiTheme="minorBidi" w:eastAsia="SimSun" w:hAnsiTheme="minorBidi" w:cstheme="minorBidi"/>
                <w:snapToGrid/>
                <w:lang w:eastAsia="en-AU"/>
              </w:rPr>
            </w:pPr>
            <w:r w:rsidRPr="0064120A">
              <w:rPr>
                <w:rFonts w:asciiTheme="minorBidi" w:eastAsia="SimSun" w:hAnsiTheme="minorBidi" w:cstheme="minorBidi"/>
                <w:snapToGrid/>
                <w:lang w:eastAsia="en-AU"/>
              </w:rPr>
              <w:t>No limit on household visits.</w:t>
            </w:r>
          </w:p>
          <w:p w14:paraId="2C2263C3" w14:textId="77777777" w:rsidR="00D907BE" w:rsidRPr="0064120A" w:rsidRDefault="00D907BE" w:rsidP="00D907BE">
            <w:pPr>
              <w:numPr>
                <w:ilvl w:val="0"/>
                <w:numId w:val="27"/>
              </w:numPr>
              <w:autoSpaceDE w:val="0"/>
              <w:autoSpaceDN w:val="0"/>
              <w:adjustRightInd w:val="0"/>
              <w:rPr>
                <w:rFonts w:asciiTheme="minorBidi" w:eastAsia="SimSun" w:hAnsiTheme="minorBidi" w:cstheme="minorBidi"/>
                <w:snapToGrid/>
                <w:lang w:eastAsia="en-AU"/>
              </w:rPr>
            </w:pPr>
            <w:r w:rsidRPr="0064120A">
              <w:rPr>
                <w:rFonts w:asciiTheme="minorBidi" w:eastAsia="SimSun" w:hAnsiTheme="minorBidi" w:cstheme="minorBidi"/>
                <w:snapToGrid/>
                <w:lang w:eastAsia="en-AU"/>
              </w:rPr>
              <w:t>The limit on the number of people allowed at outdoor gatherings remains at 100 people.</w:t>
            </w:r>
          </w:p>
          <w:p w14:paraId="3FC4A2AE" w14:textId="0D8698EB" w:rsidR="00D907BE" w:rsidRPr="0064120A" w:rsidRDefault="00D907BE" w:rsidP="00D907BE">
            <w:pPr>
              <w:numPr>
                <w:ilvl w:val="0"/>
                <w:numId w:val="27"/>
              </w:numPr>
              <w:autoSpaceDE w:val="0"/>
              <w:autoSpaceDN w:val="0"/>
              <w:adjustRightInd w:val="0"/>
              <w:rPr>
                <w:rFonts w:asciiTheme="minorBidi" w:eastAsia="SimSun" w:hAnsiTheme="minorBidi" w:cstheme="minorBidi"/>
                <w:snapToGrid/>
                <w:lang w:eastAsia="en-AU"/>
              </w:rPr>
            </w:pPr>
            <w:r w:rsidRPr="0064120A">
              <w:rPr>
                <w:rFonts w:asciiTheme="minorBidi" w:eastAsia="SimSun" w:hAnsiTheme="minorBidi" w:cstheme="minorBidi"/>
                <w:snapToGrid/>
                <w:lang w:eastAsia="en-AU"/>
              </w:rPr>
              <w:t>The current arrangements of one person per 4 square metres of usable space rule applies, up to 100 people in each indoor and each outdoor space. This excludes any staff on premises.</w:t>
            </w:r>
          </w:p>
        </w:tc>
        <w:tc>
          <w:tcPr>
            <w:tcW w:w="7655" w:type="dxa"/>
            <w:shd w:val="clear" w:color="auto" w:fill="auto"/>
            <w:vAlign w:val="center"/>
          </w:tcPr>
          <w:p w14:paraId="5B3DE1A5" w14:textId="418D889C" w:rsidR="00D907BE" w:rsidRPr="0064120A" w:rsidRDefault="002A4F20" w:rsidP="00D907BE">
            <w:pPr>
              <w:numPr>
                <w:ilvl w:val="0"/>
                <w:numId w:val="27"/>
              </w:numPr>
              <w:autoSpaceDE w:val="0"/>
              <w:autoSpaceDN w:val="0"/>
              <w:adjustRightInd w:val="0"/>
              <w:rPr>
                <w:rFonts w:asciiTheme="minorBidi" w:eastAsia="SimSun" w:hAnsiTheme="minorBidi" w:cstheme="minorBidi"/>
                <w:snapToGrid/>
                <w:lang w:eastAsia="en-AU"/>
              </w:rPr>
            </w:pPr>
            <w:r>
              <w:rPr>
                <w:rFonts w:hint="eastAsia"/>
                <w:snapToGrid/>
                <w:lang w:val="zh-Hant"/>
              </w:rPr>
              <w:t>到別家串門之類</w:t>
            </w:r>
            <w:r w:rsidR="00010567" w:rsidRPr="0064120A">
              <w:rPr>
                <w:rFonts w:hint="eastAsia"/>
                <w:snapToGrid/>
                <w:lang w:val="zh-Hant"/>
              </w:rPr>
              <w:t>的探親訪友</w:t>
            </w:r>
            <w:r w:rsidR="008A7375" w:rsidRPr="0064120A">
              <w:rPr>
                <w:rFonts w:hint="eastAsia"/>
                <w:snapToGrid/>
                <w:lang w:val="zh-Hant"/>
              </w:rPr>
              <w:t>，</w:t>
            </w:r>
            <w:r w:rsidR="00010567" w:rsidRPr="0064120A">
              <w:rPr>
                <w:rFonts w:hint="eastAsia"/>
                <w:snapToGrid/>
                <w:lang w:val="zh-Hant"/>
              </w:rPr>
              <w:t>人數不限</w:t>
            </w:r>
            <w:r w:rsidR="00D907BE" w:rsidRPr="0064120A">
              <w:rPr>
                <w:snapToGrid/>
                <w:lang w:val="zh-Hant" w:eastAsia="en-AU"/>
              </w:rPr>
              <w:t>。</w:t>
            </w:r>
          </w:p>
          <w:p w14:paraId="70064E88" w14:textId="0D041BB3" w:rsidR="00D907BE" w:rsidRPr="0064120A" w:rsidRDefault="00D907BE" w:rsidP="00D907BE">
            <w:pPr>
              <w:numPr>
                <w:ilvl w:val="0"/>
                <w:numId w:val="27"/>
              </w:numPr>
              <w:autoSpaceDE w:val="0"/>
              <w:autoSpaceDN w:val="0"/>
              <w:adjustRightInd w:val="0"/>
              <w:rPr>
                <w:rFonts w:asciiTheme="minorBidi" w:eastAsia="SimSun" w:hAnsiTheme="minorBidi" w:cstheme="minorBidi"/>
                <w:snapToGrid/>
                <w:lang w:eastAsia="en-AU"/>
              </w:rPr>
            </w:pPr>
            <w:proofErr w:type="spellStart"/>
            <w:r w:rsidRPr="0064120A">
              <w:rPr>
                <w:snapToGrid/>
                <w:lang w:val="zh-Hant" w:eastAsia="en-AU"/>
              </w:rPr>
              <w:t>戶外集會</w:t>
            </w:r>
            <w:proofErr w:type="spellEnd"/>
            <w:r w:rsidR="00010567" w:rsidRPr="0064120A">
              <w:rPr>
                <w:rFonts w:hint="eastAsia"/>
                <w:snapToGrid/>
                <w:lang w:val="zh-Hant"/>
              </w:rPr>
              <w:t>的上限</w:t>
            </w:r>
            <w:proofErr w:type="spellStart"/>
            <w:r w:rsidRPr="0064120A">
              <w:rPr>
                <w:snapToGrid/>
                <w:lang w:val="zh-Hant" w:eastAsia="en-AU"/>
              </w:rPr>
              <w:t>人數</w:t>
            </w:r>
            <w:proofErr w:type="spellEnd"/>
            <w:r w:rsidR="00010567" w:rsidRPr="0064120A">
              <w:rPr>
                <w:rFonts w:hint="eastAsia"/>
                <w:snapToGrid/>
                <w:lang w:val="zh-Hant"/>
              </w:rPr>
              <w:t>仍</w:t>
            </w:r>
            <w:r w:rsidRPr="0064120A">
              <w:rPr>
                <w:snapToGrid/>
                <w:lang w:val="zh-Hant" w:eastAsia="en-AU"/>
              </w:rPr>
              <w:t>為</w:t>
            </w:r>
            <w:r w:rsidRPr="0064120A">
              <w:rPr>
                <w:snapToGrid/>
                <w:lang w:val="zh-Hant" w:eastAsia="en-AU"/>
              </w:rPr>
              <w:t>100</w:t>
            </w:r>
            <w:r w:rsidRPr="0064120A">
              <w:rPr>
                <w:snapToGrid/>
                <w:lang w:val="zh-Hant" w:eastAsia="en-AU"/>
              </w:rPr>
              <w:t>人。</w:t>
            </w:r>
          </w:p>
          <w:p w14:paraId="75A1D01D" w14:textId="75163A14" w:rsidR="00D907BE" w:rsidRPr="0064120A" w:rsidRDefault="00010567" w:rsidP="00010567">
            <w:pPr>
              <w:numPr>
                <w:ilvl w:val="0"/>
                <w:numId w:val="27"/>
              </w:numPr>
              <w:autoSpaceDE w:val="0"/>
              <w:autoSpaceDN w:val="0"/>
              <w:adjustRightInd w:val="0"/>
              <w:rPr>
                <w:rFonts w:asciiTheme="minorBidi" w:hAnsiTheme="minorBidi" w:cstheme="minorBidi"/>
              </w:rPr>
            </w:pPr>
            <w:r w:rsidRPr="0064120A">
              <w:rPr>
                <w:snapToGrid/>
                <w:lang w:val="zh-Hant" w:eastAsia="zh-TW"/>
              </w:rPr>
              <w:t xml:space="preserve"> </w:t>
            </w:r>
            <w:r w:rsidRPr="0064120A">
              <w:rPr>
                <w:rFonts w:hint="eastAsia"/>
                <w:snapToGrid/>
                <w:lang w:val="zh-Hant"/>
              </w:rPr>
              <w:t>現行的</w:t>
            </w:r>
            <w:r w:rsidRPr="0064120A">
              <w:rPr>
                <w:rFonts w:hint="eastAsia"/>
                <w:snapToGrid/>
              </w:rPr>
              <w:t>可用空間内每</w:t>
            </w:r>
            <w:r w:rsidRPr="0064120A">
              <w:rPr>
                <w:snapToGrid/>
              </w:rPr>
              <w:t>4</w:t>
            </w:r>
            <w:r w:rsidRPr="0064120A">
              <w:rPr>
                <w:rFonts w:hint="eastAsia"/>
                <w:snapToGrid/>
              </w:rPr>
              <w:t>平方米僅容一人的原則仍然必須遵循，各</w:t>
            </w:r>
            <w:r w:rsidR="00D907BE" w:rsidRPr="0064120A">
              <w:rPr>
                <w:snapToGrid/>
                <w:lang w:val="zh-Hant"/>
              </w:rPr>
              <w:t>室內</w:t>
            </w:r>
            <w:r w:rsidR="00DB3D4E" w:rsidRPr="0064120A">
              <w:rPr>
                <w:snapToGrid/>
                <w:lang w:val="zh-Hant"/>
              </w:rPr>
              <w:t>及</w:t>
            </w:r>
            <w:r w:rsidR="00D907BE" w:rsidRPr="0064120A">
              <w:rPr>
                <w:snapToGrid/>
                <w:lang w:val="zh-Hant"/>
              </w:rPr>
              <w:t>室外空間</w:t>
            </w:r>
            <w:r w:rsidR="008A7375" w:rsidRPr="0064120A">
              <w:rPr>
                <w:rFonts w:hint="eastAsia"/>
                <w:snapToGrid/>
                <w:lang w:val="zh-Hant"/>
              </w:rPr>
              <w:t>内</w:t>
            </w:r>
            <w:r w:rsidRPr="0064120A">
              <w:rPr>
                <w:rFonts w:hint="eastAsia"/>
                <w:snapToGrid/>
                <w:lang w:val="zh-Hant"/>
              </w:rPr>
              <w:t>不得超過</w:t>
            </w:r>
            <w:r w:rsidR="00D907BE" w:rsidRPr="0064120A">
              <w:rPr>
                <w:snapToGrid/>
                <w:lang w:val="zh-Hant"/>
              </w:rPr>
              <w:t>100</w:t>
            </w:r>
            <w:r w:rsidR="00D907BE" w:rsidRPr="0064120A">
              <w:rPr>
                <w:snapToGrid/>
                <w:lang w:val="zh-Hant"/>
              </w:rPr>
              <w:t>人。</w:t>
            </w:r>
            <w:r w:rsidRPr="0064120A">
              <w:rPr>
                <w:rFonts w:hint="eastAsia"/>
                <w:snapToGrid/>
                <w:lang w:val="zh-Hant"/>
              </w:rPr>
              <w:t>此限額不</w:t>
            </w:r>
            <w:r w:rsidR="008A7375" w:rsidRPr="0064120A">
              <w:rPr>
                <w:rFonts w:hint="eastAsia"/>
                <w:snapToGrid/>
                <w:lang w:val="zh-Hant"/>
              </w:rPr>
              <w:t>含</w:t>
            </w:r>
            <w:r w:rsidRPr="0064120A">
              <w:rPr>
                <w:rFonts w:hint="eastAsia"/>
                <w:snapToGrid/>
                <w:lang w:val="zh-Hant"/>
              </w:rPr>
              <w:t>場所内的</w:t>
            </w:r>
            <w:r w:rsidR="00D907BE" w:rsidRPr="0064120A">
              <w:rPr>
                <w:snapToGrid/>
                <w:lang w:val="zh-Hant"/>
              </w:rPr>
              <w:t>任何</w:t>
            </w:r>
            <w:r w:rsidRPr="0064120A">
              <w:rPr>
                <w:rFonts w:hint="eastAsia"/>
                <w:snapToGrid/>
                <w:lang w:val="zh-Hant"/>
              </w:rPr>
              <w:t>職員</w:t>
            </w:r>
            <w:r w:rsidR="00D907BE" w:rsidRPr="0064120A">
              <w:rPr>
                <w:snapToGrid/>
                <w:lang w:val="zh-Hant"/>
              </w:rPr>
              <w:t>。</w:t>
            </w:r>
          </w:p>
        </w:tc>
      </w:tr>
      <w:tr w:rsidR="00D907BE" w:rsidRPr="0064120A" w14:paraId="70EA40D9" w14:textId="77777777" w:rsidTr="00FE432F">
        <w:trPr>
          <w:trHeight w:val="595"/>
        </w:trPr>
        <w:tc>
          <w:tcPr>
            <w:tcW w:w="7343" w:type="dxa"/>
            <w:shd w:val="clear" w:color="auto" w:fill="auto"/>
            <w:vAlign w:val="center"/>
          </w:tcPr>
          <w:p w14:paraId="04C97BEE" w14:textId="20E6B61A" w:rsidR="00D907BE" w:rsidRPr="0064120A" w:rsidRDefault="00D907BE" w:rsidP="00D907BE">
            <w:pPr>
              <w:autoSpaceDE w:val="0"/>
              <w:autoSpaceDN w:val="0"/>
              <w:adjustRightInd w:val="0"/>
              <w:ind w:left="22"/>
              <w:rPr>
                <w:rFonts w:asciiTheme="minorBidi" w:eastAsia="SimSun" w:hAnsiTheme="minorBidi" w:cstheme="minorBidi"/>
                <w:snapToGrid/>
                <w:lang w:eastAsia="en-AU"/>
              </w:rPr>
            </w:pPr>
            <w:r w:rsidRPr="0064120A">
              <w:rPr>
                <w:rFonts w:asciiTheme="minorBidi" w:eastAsia="SimSun" w:hAnsiTheme="minorBidi" w:cstheme="minorBidi"/>
                <w:b/>
                <w:bCs/>
                <w:snapToGrid/>
                <w:lang w:eastAsia="en-AU"/>
              </w:rPr>
              <w:t>We all need to continue to be responsible</w:t>
            </w:r>
          </w:p>
        </w:tc>
        <w:tc>
          <w:tcPr>
            <w:tcW w:w="7655" w:type="dxa"/>
            <w:shd w:val="clear" w:color="auto" w:fill="auto"/>
            <w:vAlign w:val="center"/>
          </w:tcPr>
          <w:p w14:paraId="40A40F42" w14:textId="2846948F" w:rsidR="00D907BE" w:rsidRPr="0064120A" w:rsidRDefault="003D12BA" w:rsidP="00D907BE">
            <w:pPr>
              <w:rPr>
                <w:rFonts w:asciiTheme="minorBidi" w:hAnsiTheme="minorBidi" w:cstheme="minorBidi"/>
              </w:rPr>
            </w:pPr>
            <w:r w:rsidRPr="0064120A">
              <w:rPr>
                <w:rFonts w:hint="eastAsia"/>
                <w:b/>
                <w:bCs/>
                <w:snapToGrid/>
                <w:lang w:val="zh-Hant"/>
              </w:rPr>
              <w:t>大家仍</w:t>
            </w:r>
            <w:r w:rsidR="0061487C" w:rsidRPr="0064120A">
              <w:rPr>
                <w:rFonts w:hint="eastAsia"/>
                <w:b/>
                <w:bCs/>
                <w:snapToGrid/>
                <w:lang w:val="zh-Hant"/>
              </w:rPr>
              <w:t>須</w:t>
            </w:r>
            <w:proofErr w:type="spellStart"/>
            <w:r w:rsidR="00D907BE" w:rsidRPr="0064120A">
              <w:rPr>
                <w:b/>
                <w:bCs/>
                <w:snapToGrid/>
                <w:lang w:val="zh-Hant" w:eastAsia="en-AU"/>
              </w:rPr>
              <w:t>繼續</w:t>
            </w:r>
            <w:proofErr w:type="spellEnd"/>
            <w:r w:rsidR="0061487C" w:rsidRPr="0064120A">
              <w:rPr>
                <w:rFonts w:hint="eastAsia"/>
                <w:b/>
                <w:bCs/>
                <w:snapToGrid/>
                <w:lang w:val="zh-Hant"/>
              </w:rPr>
              <w:t>為社會盡責</w:t>
            </w:r>
          </w:p>
        </w:tc>
      </w:tr>
      <w:tr w:rsidR="00D907BE" w:rsidRPr="0064120A" w14:paraId="78BECC9A" w14:textId="77777777" w:rsidTr="00FE432F">
        <w:trPr>
          <w:trHeight w:val="956"/>
        </w:trPr>
        <w:tc>
          <w:tcPr>
            <w:tcW w:w="7343" w:type="dxa"/>
            <w:shd w:val="clear" w:color="auto" w:fill="auto"/>
            <w:vAlign w:val="center"/>
          </w:tcPr>
          <w:p w14:paraId="4E5A852F" w14:textId="4DE4C861" w:rsidR="00D907BE" w:rsidRPr="0064120A" w:rsidRDefault="00D907BE" w:rsidP="00D907BE">
            <w:pPr>
              <w:autoSpaceDE w:val="0"/>
              <w:autoSpaceDN w:val="0"/>
              <w:adjustRightInd w:val="0"/>
              <w:ind w:left="22"/>
              <w:rPr>
                <w:rFonts w:asciiTheme="minorBidi" w:eastAsia="SimSun" w:hAnsiTheme="minorBidi" w:cstheme="minorBidi"/>
                <w:snapToGrid/>
                <w:lang w:eastAsia="en-AU"/>
              </w:rPr>
            </w:pPr>
            <w:r w:rsidRPr="0064120A">
              <w:rPr>
                <w:rFonts w:asciiTheme="minorBidi" w:eastAsia="SimSun" w:hAnsiTheme="minorBidi" w:cstheme="minorBidi"/>
                <w:snapToGrid/>
                <w:lang w:eastAsia="en-AU"/>
              </w:rPr>
              <w:t>The requirements under the Public Health Directions are not just the responsibility of businesses - they extend to all Canberrans.</w:t>
            </w:r>
          </w:p>
        </w:tc>
        <w:tc>
          <w:tcPr>
            <w:tcW w:w="7655" w:type="dxa"/>
            <w:shd w:val="clear" w:color="auto" w:fill="auto"/>
            <w:vAlign w:val="center"/>
          </w:tcPr>
          <w:p w14:paraId="01B430BF" w14:textId="71620F55" w:rsidR="00D907BE" w:rsidRPr="0064120A" w:rsidRDefault="0061487C" w:rsidP="00D907BE">
            <w:pPr>
              <w:rPr>
                <w:rFonts w:asciiTheme="minorBidi" w:hAnsiTheme="minorBidi" w:cstheme="minorBidi"/>
              </w:rPr>
            </w:pPr>
            <w:r w:rsidRPr="0064120A">
              <w:rPr>
                <w:rFonts w:hint="eastAsia"/>
                <w:snapToGrid/>
                <w:lang w:val="zh-Hant" w:eastAsia="en-AU"/>
              </w:rPr>
              <w:t>「</w:t>
            </w:r>
            <w:proofErr w:type="spellStart"/>
            <w:r w:rsidRPr="0064120A">
              <w:rPr>
                <w:rFonts w:hint="eastAsia"/>
                <w:snapToGrid/>
                <w:lang w:val="zh-Hant" w:eastAsia="en-AU"/>
              </w:rPr>
              <w:t>公共衛生指示</w:t>
            </w:r>
            <w:proofErr w:type="spellEnd"/>
            <w:r w:rsidRPr="0064120A">
              <w:rPr>
                <w:rFonts w:hint="eastAsia"/>
                <w:snapToGrid/>
                <w:lang w:val="zh-Hant" w:eastAsia="en-AU"/>
              </w:rPr>
              <w:t>」</w:t>
            </w:r>
            <w:r w:rsidRPr="0064120A">
              <w:rPr>
                <w:snapToGrid/>
                <w:lang w:val="zh-Hant" w:eastAsia="en-AU"/>
              </w:rPr>
              <w:t>(Public Health Directions)</w:t>
            </w:r>
            <w:r w:rsidR="003D12BA" w:rsidRPr="0064120A">
              <w:rPr>
                <w:rFonts w:hint="eastAsia"/>
                <w:snapToGrid/>
                <w:lang w:val="zh-Hant"/>
              </w:rPr>
              <w:t>中</w:t>
            </w:r>
            <w:r w:rsidRPr="0064120A">
              <w:rPr>
                <w:rFonts w:hint="eastAsia"/>
                <w:snapToGrid/>
                <w:lang w:val="zh-Hant"/>
              </w:rPr>
              <w:t>規定的社會公責</w:t>
            </w:r>
            <w:proofErr w:type="spellStart"/>
            <w:r w:rsidR="00D907BE" w:rsidRPr="0064120A">
              <w:rPr>
                <w:snapToGrid/>
                <w:lang w:val="zh-Hant" w:eastAsia="en-AU"/>
              </w:rPr>
              <w:t>不僅僅是</w:t>
            </w:r>
            <w:r w:rsidR="00294A23" w:rsidRPr="0064120A">
              <w:rPr>
                <w:snapToGrid/>
                <w:lang w:val="zh-Hant" w:eastAsia="en-AU"/>
              </w:rPr>
              <w:t>商企</w:t>
            </w:r>
            <w:r w:rsidR="00D907BE" w:rsidRPr="0064120A">
              <w:rPr>
                <w:snapToGrid/>
                <w:lang w:val="zh-Hant" w:eastAsia="en-AU"/>
              </w:rPr>
              <w:t>的責任</w:t>
            </w:r>
            <w:proofErr w:type="spellEnd"/>
            <w:r w:rsidRPr="0064120A">
              <w:rPr>
                <w:rFonts w:hint="eastAsia"/>
                <w:snapToGrid/>
                <w:lang w:val="zh-Hant"/>
              </w:rPr>
              <w:t>，也是所有</w:t>
            </w:r>
            <w:proofErr w:type="spellStart"/>
            <w:r w:rsidR="00D907BE" w:rsidRPr="0064120A">
              <w:rPr>
                <w:snapToGrid/>
                <w:lang w:val="zh-Hant" w:eastAsia="en-AU"/>
              </w:rPr>
              <w:t>坎培拉</w:t>
            </w:r>
            <w:proofErr w:type="spellEnd"/>
            <w:r w:rsidRPr="0064120A">
              <w:rPr>
                <w:rFonts w:hint="eastAsia"/>
                <w:snapToGrid/>
                <w:lang w:val="zh-Hant"/>
              </w:rPr>
              <w:t>市民的責任</w:t>
            </w:r>
            <w:r w:rsidR="00D907BE" w:rsidRPr="0064120A">
              <w:rPr>
                <w:snapToGrid/>
                <w:lang w:val="zh-Hant" w:eastAsia="en-AU"/>
              </w:rPr>
              <w:t>。</w:t>
            </w:r>
          </w:p>
        </w:tc>
      </w:tr>
      <w:tr w:rsidR="00D907BE" w:rsidRPr="0064120A" w14:paraId="08051FE5" w14:textId="77777777" w:rsidTr="00FE432F">
        <w:trPr>
          <w:trHeight w:val="1126"/>
        </w:trPr>
        <w:tc>
          <w:tcPr>
            <w:tcW w:w="7343" w:type="dxa"/>
            <w:shd w:val="clear" w:color="auto" w:fill="auto"/>
            <w:vAlign w:val="center"/>
          </w:tcPr>
          <w:p w14:paraId="6280C471" w14:textId="656A65D9" w:rsidR="00D907BE" w:rsidRPr="0064120A" w:rsidRDefault="00D907BE" w:rsidP="00D907BE">
            <w:pPr>
              <w:autoSpaceDE w:val="0"/>
              <w:autoSpaceDN w:val="0"/>
              <w:adjustRightInd w:val="0"/>
              <w:ind w:left="22"/>
              <w:rPr>
                <w:rFonts w:asciiTheme="minorBidi" w:eastAsia="SimSun" w:hAnsiTheme="minorBidi" w:cstheme="minorBidi"/>
                <w:snapToGrid/>
                <w:lang w:eastAsia="en-AU"/>
              </w:rPr>
            </w:pPr>
            <w:r w:rsidRPr="0064120A">
              <w:rPr>
                <w:rFonts w:asciiTheme="minorBidi" w:eastAsia="SimSun" w:hAnsiTheme="minorBidi" w:cstheme="minorBidi"/>
                <w:snapToGrid/>
                <w:lang w:eastAsia="en-AU"/>
              </w:rPr>
              <w:t xml:space="preserve">We must all be sensible when having people in our homes and put in place our own control measures. This includes knowing who is there and at what times, and downloading the </w:t>
            </w:r>
            <w:proofErr w:type="spellStart"/>
            <w:r w:rsidRPr="0064120A">
              <w:rPr>
                <w:rFonts w:asciiTheme="minorBidi" w:eastAsia="SimSun" w:hAnsiTheme="minorBidi" w:cstheme="minorBidi"/>
                <w:snapToGrid/>
                <w:lang w:eastAsia="en-AU"/>
              </w:rPr>
              <w:t>COVIDSafe</w:t>
            </w:r>
            <w:proofErr w:type="spellEnd"/>
            <w:r w:rsidRPr="0064120A">
              <w:rPr>
                <w:rFonts w:asciiTheme="minorBidi" w:eastAsia="SimSun" w:hAnsiTheme="minorBidi" w:cstheme="minorBidi"/>
                <w:snapToGrid/>
                <w:lang w:eastAsia="en-AU"/>
              </w:rPr>
              <w:t xml:space="preserve"> app.</w:t>
            </w:r>
          </w:p>
        </w:tc>
        <w:tc>
          <w:tcPr>
            <w:tcW w:w="7655" w:type="dxa"/>
            <w:shd w:val="clear" w:color="auto" w:fill="auto"/>
            <w:vAlign w:val="center"/>
          </w:tcPr>
          <w:p w14:paraId="00FD146C" w14:textId="7F72448C" w:rsidR="00D907BE" w:rsidRPr="0064120A" w:rsidRDefault="008B705D" w:rsidP="00D907BE">
            <w:pPr>
              <w:rPr>
                <w:rFonts w:asciiTheme="minorBidi" w:hAnsiTheme="minorBidi" w:cstheme="minorBidi"/>
              </w:rPr>
            </w:pPr>
            <w:proofErr w:type="spellStart"/>
            <w:r w:rsidRPr="0064120A">
              <w:rPr>
                <w:rFonts w:hint="eastAsia"/>
                <w:snapToGrid/>
                <w:lang w:val="zh-Hant" w:eastAsia="en-AU"/>
              </w:rPr>
              <w:t>在家裏招待客人時應考慮實際情況，備有自己的防控措施</w:t>
            </w:r>
            <w:proofErr w:type="spellEnd"/>
            <w:r w:rsidRPr="0064120A">
              <w:rPr>
                <w:rFonts w:hint="eastAsia"/>
                <w:snapToGrid/>
                <w:lang w:val="zh-Hant" w:eastAsia="en-AU"/>
              </w:rPr>
              <w:t>。</w:t>
            </w:r>
            <w:r w:rsidR="000121D9" w:rsidRPr="0064120A">
              <w:rPr>
                <w:rFonts w:hint="eastAsia"/>
                <w:snapToGrid/>
                <w:lang w:val="zh-Hant"/>
              </w:rPr>
              <w:t>這包括</w:t>
            </w:r>
            <w:proofErr w:type="spellStart"/>
            <w:r w:rsidRPr="0064120A">
              <w:rPr>
                <w:rFonts w:hint="eastAsia"/>
                <w:snapToGrid/>
                <w:lang w:val="zh-Hant" w:eastAsia="en-AU"/>
              </w:rPr>
              <w:t>要清楚知道都有誰來過、甚麼時候來過、下載</w:t>
            </w:r>
            <w:proofErr w:type="spellEnd"/>
            <w:r w:rsidRPr="0064120A">
              <w:rPr>
                <w:snapToGrid/>
                <w:lang w:val="zh-Hant" w:eastAsia="en-AU"/>
              </w:rPr>
              <w:t>COVIDSafe</w:t>
            </w:r>
            <w:proofErr w:type="spellStart"/>
            <w:r w:rsidRPr="0064120A">
              <w:rPr>
                <w:rFonts w:hint="eastAsia"/>
                <w:snapToGrid/>
                <w:lang w:val="zh-Hant" w:eastAsia="en-AU"/>
              </w:rPr>
              <w:t>應用程式</w:t>
            </w:r>
            <w:proofErr w:type="spellEnd"/>
            <w:r w:rsidR="000121D9" w:rsidRPr="0064120A">
              <w:rPr>
                <w:rFonts w:hint="eastAsia"/>
                <w:snapToGrid/>
                <w:lang w:val="zh-Hant"/>
              </w:rPr>
              <w:t>等。</w:t>
            </w:r>
          </w:p>
        </w:tc>
      </w:tr>
      <w:tr w:rsidR="00D907BE" w:rsidRPr="0064120A" w14:paraId="4A1FE6D0" w14:textId="77777777" w:rsidTr="00FE432F">
        <w:trPr>
          <w:trHeight w:val="1414"/>
        </w:trPr>
        <w:tc>
          <w:tcPr>
            <w:tcW w:w="7343" w:type="dxa"/>
            <w:shd w:val="clear" w:color="auto" w:fill="auto"/>
            <w:vAlign w:val="center"/>
          </w:tcPr>
          <w:p w14:paraId="47A5518F" w14:textId="07FF1C8F" w:rsidR="00D907BE" w:rsidRPr="0064120A" w:rsidRDefault="00D907BE" w:rsidP="00D907BE">
            <w:pPr>
              <w:autoSpaceDE w:val="0"/>
              <w:autoSpaceDN w:val="0"/>
              <w:adjustRightInd w:val="0"/>
              <w:ind w:left="22"/>
              <w:rPr>
                <w:rFonts w:asciiTheme="minorBidi" w:eastAsia="SimSun" w:hAnsiTheme="minorBidi" w:cstheme="minorBidi"/>
                <w:snapToGrid/>
                <w:lang w:eastAsia="en-AU"/>
              </w:rPr>
            </w:pPr>
            <w:r w:rsidRPr="0064120A">
              <w:rPr>
                <w:rFonts w:asciiTheme="minorBidi" w:eastAsia="SimSun" w:hAnsiTheme="minorBidi" w:cstheme="minorBidi"/>
                <w:snapToGrid/>
                <w:lang w:eastAsia="en-AU"/>
              </w:rPr>
              <w:lastRenderedPageBreak/>
              <w:t>Importantly, we must maintain our best lines of defence against the disease by physically distancing, practising good hand and respiratory hygiene, staying home if unwell and getting tested if you have symptoms.</w:t>
            </w:r>
          </w:p>
        </w:tc>
        <w:tc>
          <w:tcPr>
            <w:tcW w:w="7655" w:type="dxa"/>
            <w:shd w:val="clear" w:color="auto" w:fill="auto"/>
            <w:vAlign w:val="center"/>
          </w:tcPr>
          <w:p w14:paraId="2C36B73A" w14:textId="24B1BA0A" w:rsidR="00D907BE" w:rsidRPr="0064120A" w:rsidRDefault="00DE2CAA" w:rsidP="00D907BE">
            <w:pPr>
              <w:rPr>
                <w:rFonts w:asciiTheme="minorBidi" w:hAnsiTheme="minorBidi" w:cstheme="minorBidi"/>
                <w:lang w:eastAsia="zh-Hant"/>
              </w:rPr>
            </w:pPr>
            <w:r w:rsidRPr="0064120A">
              <w:rPr>
                <w:rFonts w:hint="eastAsia"/>
                <w:snapToGrid/>
                <w:lang w:val="zh-Hant"/>
              </w:rPr>
              <w:t>重要的是，大家必須備有防禦疾病的</w:t>
            </w:r>
            <w:r w:rsidR="00205496" w:rsidRPr="0064120A">
              <w:rPr>
                <w:rFonts w:hint="eastAsia"/>
                <w:snapToGrid/>
                <w:lang w:val="zh-Hant"/>
              </w:rPr>
              <w:t>得力</w:t>
            </w:r>
            <w:r w:rsidRPr="0064120A">
              <w:rPr>
                <w:rFonts w:hint="eastAsia"/>
                <w:snapToGrid/>
                <w:lang w:val="zh-Hant"/>
              </w:rPr>
              <w:t>措施，</w:t>
            </w:r>
            <w:r w:rsidR="002A4F20">
              <w:rPr>
                <w:rFonts w:hint="eastAsia"/>
                <w:snapToGrid/>
                <w:lang w:val="zh-Hant"/>
              </w:rPr>
              <w:t>即是，</w:t>
            </w:r>
            <w:r w:rsidRPr="0064120A">
              <w:rPr>
                <w:rFonts w:hint="eastAsia"/>
                <w:snapToGrid/>
                <w:lang w:val="zh-Hant"/>
              </w:rPr>
              <w:t>保持與他人之間的疏距、良好的潔手及呼吸道衛生習慣、</w:t>
            </w:r>
            <w:r w:rsidR="0064616B" w:rsidRPr="0064120A">
              <w:rPr>
                <w:rFonts w:hint="eastAsia"/>
                <w:snapToGrid/>
                <w:lang w:val="zh-Hant"/>
              </w:rPr>
              <w:t>若</w:t>
            </w:r>
            <w:r w:rsidR="00205496" w:rsidRPr="0064120A">
              <w:rPr>
                <w:rFonts w:hint="eastAsia"/>
                <w:snapToGrid/>
                <w:lang w:val="zh-Hant"/>
              </w:rPr>
              <w:t>感</w:t>
            </w:r>
            <w:r w:rsidR="0064616B" w:rsidRPr="0064120A">
              <w:rPr>
                <w:rFonts w:hint="eastAsia"/>
                <w:snapToGrid/>
                <w:lang w:val="zh-Hant"/>
              </w:rPr>
              <w:t>不適</w:t>
            </w:r>
            <w:r w:rsidR="00205496" w:rsidRPr="0064120A">
              <w:rPr>
                <w:rFonts w:hint="eastAsia"/>
                <w:snapToGrid/>
                <w:lang w:val="zh-Hant"/>
              </w:rPr>
              <w:t>則</w:t>
            </w:r>
            <w:r w:rsidR="0064616B" w:rsidRPr="0064120A">
              <w:rPr>
                <w:rFonts w:hint="eastAsia"/>
                <w:snapToGrid/>
                <w:lang w:val="zh-Hant"/>
              </w:rPr>
              <w:t>應留在家裏、出現病癥時</w:t>
            </w:r>
            <w:r w:rsidR="00205496" w:rsidRPr="0064120A">
              <w:rPr>
                <w:rFonts w:hint="eastAsia"/>
                <w:snapToGrid/>
                <w:lang w:val="zh-Hant"/>
              </w:rPr>
              <w:t>就</w:t>
            </w:r>
            <w:r w:rsidR="0064616B" w:rsidRPr="0064120A">
              <w:rPr>
                <w:rFonts w:hint="eastAsia"/>
                <w:snapToGrid/>
                <w:lang w:val="zh-Hant"/>
              </w:rPr>
              <w:t>去做檢測等</w:t>
            </w:r>
            <w:r w:rsidR="002A4F20">
              <w:rPr>
                <w:rFonts w:hint="eastAsia"/>
                <w:snapToGrid/>
                <w:lang w:val="zh-Hant"/>
              </w:rPr>
              <w:t>做法</w:t>
            </w:r>
            <w:r w:rsidR="0064616B" w:rsidRPr="0064120A">
              <w:rPr>
                <w:rFonts w:hint="eastAsia"/>
                <w:snapToGrid/>
                <w:lang w:val="zh-Hant"/>
              </w:rPr>
              <w:t>。</w:t>
            </w:r>
            <w:r w:rsidR="00EF3654" w:rsidRPr="0064120A">
              <w:rPr>
                <w:noProof/>
                <w:snapToGrid/>
                <w:lang w:val="zh-Hant" w:eastAsia="en-AU"/>
              </w:rPr>
              <mc:AlternateContent>
                <mc:Choice Requires="wpi">
                  <w:drawing>
                    <wp:anchor distT="0" distB="0" distL="114300" distR="114300" simplePos="0" relativeHeight="251659264" behindDoc="0" locked="0" layoutInCell="1" allowOverlap="1" wp14:anchorId="5584A4AE" wp14:editId="6D27A011">
                      <wp:simplePos x="0" y="0"/>
                      <wp:positionH relativeFrom="column">
                        <wp:posOffset>3400789</wp:posOffset>
                      </wp:positionH>
                      <wp:positionV relativeFrom="paragraph">
                        <wp:posOffset>322852</wp:posOffset>
                      </wp:positionV>
                      <wp:extent cx="21600" cy="360"/>
                      <wp:effectExtent l="38100" t="38100" r="54610" b="57150"/>
                      <wp:wrapNone/>
                      <wp:docPr id="1" name="Ink 1"/>
                      <wp:cNvGraphicFramePr/>
                      <a:graphic xmlns:a="http://schemas.openxmlformats.org/drawingml/2006/main">
                        <a:graphicData uri="http://schemas.microsoft.com/office/word/2010/wordprocessingInk">
                          <w14:contentPart bwMode="auto" r:id="rId15">
                            <w14:nvContentPartPr>
                              <w14:cNvContentPartPr/>
                            </w14:nvContentPartPr>
                            <w14:xfrm>
                              <a:off x="0" y="0"/>
                              <a:ext cx="21600" cy="360"/>
                            </w14:xfrm>
                          </w14:contentPart>
                        </a:graphicData>
                      </a:graphic>
                    </wp:anchor>
                  </w:drawing>
                </mc:Choice>
                <mc:Fallback xmlns:w16="http://schemas.microsoft.com/office/word/2018/wordml" xmlns:w16cex="http://schemas.microsoft.com/office/word/2018/wordml/cex">
                  <w:pict>
                    <v:shapetype w14:anchorId="1449242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267.1pt;margin-top:24.7pt;width:3.1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">
                      <v:imagedata r:id="rId17" o:title=""/>
                    </v:shape>
                  </w:pict>
                </mc:Fallback>
              </mc:AlternateContent>
            </w:r>
          </w:p>
        </w:tc>
      </w:tr>
      <w:tr w:rsidR="00D907BE" w:rsidRPr="0064120A" w14:paraId="6DAFCA20" w14:textId="77777777" w:rsidTr="00FE432F">
        <w:trPr>
          <w:trHeight w:val="975"/>
        </w:trPr>
        <w:tc>
          <w:tcPr>
            <w:tcW w:w="7343" w:type="dxa"/>
            <w:shd w:val="clear" w:color="auto" w:fill="auto"/>
            <w:vAlign w:val="center"/>
          </w:tcPr>
          <w:p w14:paraId="53CE300B" w14:textId="60F74149" w:rsidR="00D907BE" w:rsidRPr="0064120A" w:rsidRDefault="00D907BE" w:rsidP="00D907BE">
            <w:pPr>
              <w:autoSpaceDE w:val="0"/>
              <w:autoSpaceDN w:val="0"/>
              <w:adjustRightInd w:val="0"/>
              <w:ind w:left="22"/>
              <w:rPr>
                <w:rFonts w:asciiTheme="minorBidi" w:eastAsia="SimSun" w:hAnsiTheme="minorBidi" w:cstheme="minorBidi"/>
                <w:snapToGrid/>
                <w:lang w:eastAsia="en-AU"/>
              </w:rPr>
            </w:pPr>
            <w:r w:rsidRPr="0064120A">
              <w:rPr>
                <w:rFonts w:asciiTheme="minorBidi" w:eastAsia="SimSun" w:hAnsiTheme="minorBidi" w:cstheme="minorBidi"/>
                <w:snapToGrid/>
                <w:lang w:eastAsia="en-AU"/>
              </w:rPr>
              <w:t>These principles have not changed and are the best way to keep our community safe and to prevent the spread of COVID-19.</w:t>
            </w:r>
          </w:p>
        </w:tc>
        <w:tc>
          <w:tcPr>
            <w:tcW w:w="7655" w:type="dxa"/>
            <w:shd w:val="clear" w:color="auto" w:fill="auto"/>
            <w:vAlign w:val="center"/>
          </w:tcPr>
          <w:p w14:paraId="2815F6F5" w14:textId="7CA9035F" w:rsidR="00D907BE" w:rsidRPr="0064120A" w:rsidRDefault="00EC5788" w:rsidP="00D907BE">
            <w:pPr>
              <w:rPr>
                <w:rFonts w:asciiTheme="minorBidi" w:hAnsiTheme="minorBidi" w:cstheme="minorBidi"/>
              </w:rPr>
            </w:pPr>
            <w:r w:rsidRPr="0064120A">
              <w:rPr>
                <w:rFonts w:hint="eastAsia"/>
                <w:snapToGrid/>
                <w:lang w:val="zh-Hant"/>
              </w:rPr>
              <w:t>以上</w:t>
            </w:r>
            <w:r w:rsidR="005F052F" w:rsidRPr="0064120A">
              <w:rPr>
                <w:rFonts w:hint="eastAsia"/>
                <w:snapToGrid/>
                <w:lang w:val="zh-Hant"/>
              </w:rPr>
              <w:t>各</w:t>
            </w:r>
            <w:r w:rsidRPr="0064120A">
              <w:rPr>
                <w:rFonts w:hint="eastAsia"/>
                <w:snapToGrid/>
                <w:lang w:val="zh-Hant"/>
              </w:rPr>
              <w:t>原則</w:t>
            </w:r>
            <w:r w:rsidR="005F052F" w:rsidRPr="0064120A">
              <w:rPr>
                <w:rFonts w:hint="eastAsia"/>
                <w:snapToGrid/>
                <w:lang w:val="zh-Hant"/>
              </w:rPr>
              <w:t>仍無</w:t>
            </w:r>
            <w:proofErr w:type="spellStart"/>
            <w:r w:rsidR="00D907BE" w:rsidRPr="0064120A">
              <w:rPr>
                <w:snapToGrid/>
                <w:lang w:val="zh-Hant" w:eastAsia="en-AU"/>
              </w:rPr>
              <w:t>改變</w:t>
            </w:r>
            <w:proofErr w:type="spellEnd"/>
            <w:r w:rsidRPr="0064120A">
              <w:rPr>
                <w:rFonts w:hint="eastAsia"/>
                <w:snapToGrid/>
                <w:lang w:val="zh-Hant"/>
              </w:rPr>
              <w:t>，</w:t>
            </w:r>
            <w:r w:rsidR="005F052F" w:rsidRPr="0064120A">
              <w:rPr>
                <w:rFonts w:hint="eastAsia"/>
                <w:snapToGrid/>
                <w:lang w:val="zh-Hant"/>
              </w:rPr>
              <w:t>均爲</w:t>
            </w:r>
            <w:proofErr w:type="spellStart"/>
            <w:r w:rsidR="00D907BE" w:rsidRPr="0064120A">
              <w:rPr>
                <w:snapToGrid/>
                <w:lang w:val="zh-Hant" w:eastAsia="en-AU"/>
              </w:rPr>
              <w:t>保護社區安全</w:t>
            </w:r>
            <w:proofErr w:type="spellEnd"/>
            <w:r w:rsidRPr="0064120A">
              <w:rPr>
                <w:rFonts w:hint="eastAsia"/>
                <w:snapToGrid/>
                <w:lang w:val="zh-Hant"/>
              </w:rPr>
              <w:t>、防範</w:t>
            </w:r>
            <w:r w:rsidRPr="0064120A">
              <w:rPr>
                <w:rFonts w:hint="eastAsia"/>
                <w:snapToGrid/>
              </w:rPr>
              <w:t>冠狀病毒病</w:t>
            </w:r>
            <w:r w:rsidRPr="0064120A">
              <w:rPr>
                <w:snapToGrid/>
              </w:rPr>
              <w:t>(COVID-19)</w:t>
            </w:r>
            <w:proofErr w:type="spellStart"/>
            <w:r w:rsidR="00D907BE" w:rsidRPr="0064120A">
              <w:rPr>
                <w:snapToGrid/>
                <w:lang w:val="zh-Hant" w:eastAsia="en-AU"/>
              </w:rPr>
              <w:t>傳播的</w:t>
            </w:r>
            <w:proofErr w:type="spellEnd"/>
            <w:r w:rsidRPr="0064120A">
              <w:rPr>
                <w:rFonts w:hint="eastAsia"/>
                <w:snapToGrid/>
                <w:lang w:val="zh-Hant"/>
              </w:rPr>
              <w:t>最</w:t>
            </w:r>
            <w:r w:rsidR="005F052F" w:rsidRPr="0064120A">
              <w:rPr>
                <w:rFonts w:hint="eastAsia"/>
                <w:snapToGrid/>
                <w:lang w:val="zh-Hant"/>
              </w:rPr>
              <w:t>行之</w:t>
            </w:r>
            <w:r w:rsidRPr="0064120A">
              <w:rPr>
                <w:rFonts w:hint="eastAsia"/>
                <w:snapToGrid/>
                <w:lang w:val="zh-Hant"/>
              </w:rPr>
              <w:t>有效</w:t>
            </w:r>
            <w:r w:rsidR="005F052F" w:rsidRPr="0064120A">
              <w:rPr>
                <w:rFonts w:hint="eastAsia"/>
                <w:snapToGrid/>
                <w:lang w:val="zh-Hant"/>
              </w:rPr>
              <w:t>的</w:t>
            </w:r>
            <w:r w:rsidRPr="0064120A">
              <w:rPr>
                <w:rFonts w:hint="eastAsia"/>
                <w:snapToGrid/>
                <w:lang w:val="zh-Hant"/>
              </w:rPr>
              <w:t>途徑</w:t>
            </w:r>
            <w:r w:rsidR="00D907BE" w:rsidRPr="0064120A">
              <w:rPr>
                <w:snapToGrid/>
                <w:lang w:val="zh-Hant" w:eastAsia="en-AU"/>
              </w:rPr>
              <w:t>。</w:t>
            </w:r>
          </w:p>
        </w:tc>
      </w:tr>
    </w:tbl>
    <w:p w14:paraId="46825F7D" w14:textId="77777777" w:rsidR="002A4525" w:rsidRPr="0064120A" w:rsidRDefault="002A4525" w:rsidP="006C19F5">
      <w:pPr>
        <w:ind w:left="-426"/>
        <w:rPr>
          <w:rFonts w:asciiTheme="minorBidi" w:hAnsiTheme="minorBidi" w:cstheme="minorBidi"/>
        </w:rPr>
      </w:pPr>
    </w:p>
    <w:sectPr w:rsidR="002A4525" w:rsidRPr="0064120A"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DED1C" w14:textId="77777777" w:rsidR="0094638A" w:rsidRDefault="0094638A">
      <w:pPr>
        <w:rPr>
          <w:rFonts w:eastAsia="SimSun"/>
        </w:rPr>
      </w:pPr>
      <w:r>
        <w:rPr>
          <w:rFonts w:eastAsia="SimSun"/>
        </w:rPr>
        <w:separator/>
      </w:r>
    </w:p>
  </w:endnote>
  <w:endnote w:type="continuationSeparator" w:id="0">
    <w:p w14:paraId="4CA6E98C" w14:textId="77777777" w:rsidR="0094638A" w:rsidRDefault="0094638A">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yidaungsu">
    <w:altName w:val="Myanmar Text"/>
    <w:charset w:val="00"/>
    <w:family w:val="swiss"/>
    <w:pitch w:val="variable"/>
    <w:sig w:usb0="80000023" w:usb1="1000205A"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1C02B" w14:textId="77777777" w:rsidR="0094638A" w:rsidRDefault="0094638A">
      <w:pPr>
        <w:rPr>
          <w:rFonts w:eastAsia="SimSun"/>
        </w:rPr>
      </w:pPr>
      <w:r>
        <w:rPr>
          <w:rFonts w:eastAsia="SimSun"/>
        </w:rPr>
        <w:separator/>
      </w:r>
    </w:p>
  </w:footnote>
  <w:footnote w:type="continuationSeparator" w:id="0">
    <w:p w14:paraId="2A24E749" w14:textId="77777777" w:rsidR="0094638A" w:rsidRDefault="0094638A">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08AA0D94"/>
    <w:multiLevelType w:val="multilevel"/>
    <w:tmpl w:val="29D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993894"/>
    <w:multiLevelType w:val="multilevel"/>
    <w:tmpl w:val="7F48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7"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8"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9" w15:restartNumberingAfterBreak="0">
    <w:nsid w:val="163D63BF"/>
    <w:multiLevelType w:val="multilevel"/>
    <w:tmpl w:val="CD7A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BC3A6A"/>
    <w:multiLevelType w:val="multilevel"/>
    <w:tmpl w:val="53E8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A47553"/>
    <w:multiLevelType w:val="hybridMultilevel"/>
    <w:tmpl w:val="7F18298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3" w15:restartNumberingAfterBreak="0">
    <w:nsid w:val="20FE614E"/>
    <w:multiLevelType w:val="hybridMultilevel"/>
    <w:tmpl w:val="5B901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7" w15:restartNumberingAfterBreak="0">
    <w:nsid w:val="2F1C0843"/>
    <w:multiLevelType w:val="hybridMultilevel"/>
    <w:tmpl w:val="573CEF9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8"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9"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3"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971340"/>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5"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7"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27"/>
  </w:num>
  <w:num w:numId="4">
    <w:abstractNumId w:val="23"/>
  </w:num>
  <w:num w:numId="5">
    <w:abstractNumId w:val="15"/>
  </w:num>
  <w:num w:numId="6">
    <w:abstractNumId w:val="14"/>
  </w:num>
  <w:num w:numId="7">
    <w:abstractNumId w:val="1"/>
  </w:num>
  <w:num w:numId="8">
    <w:abstractNumId w:val="26"/>
  </w:num>
  <w:num w:numId="9">
    <w:abstractNumId w:val="6"/>
  </w:num>
  <w:num w:numId="10">
    <w:abstractNumId w:val="22"/>
  </w:num>
  <w:num w:numId="11">
    <w:abstractNumId w:val="3"/>
  </w:num>
  <w:num w:numId="12">
    <w:abstractNumId w:val="18"/>
  </w:num>
  <w:num w:numId="13">
    <w:abstractNumId w:val="21"/>
  </w:num>
  <w:num w:numId="14">
    <w:abstractNumId w:val="25"/>
  </w:num>
  <w:num w:numId="15">
    <w:abstractNumId w:val="11"/>
  </w:num>
  <w:num w:numId="16">
    <w:abstractNumId w:val="16"/>
  </w:num>
  <w:num w:numId="17">
    <w:abstractNumId w:val="2"/>
  </w:num>
  <w:num w:numId="18">
    <w:abstractNumId w:val="20"/>
  </w:num>
  <w:num w:numId="19">
    <w:abstractNumId w:val="5"/>
  </w:num>
  <w:num w:numId="20">
    <w:abstractNumId w:val="12"/>
  </w:num>
  <w:num w:numId="21">
    <w:abstractNumId w:val="24"/>
  </w:num>
  <w:num w:numId="22">
    <w:abstractNumId w:val="7"/>
  </w:num>
  <w:num w:numId="23">
    <w:abstractNumId w:val="17"/>
  </w:num>
  <w:num w:numId="24">
    <w:abstractNumId w:val="8"/>
  </w:num>
  <w:num w:numId="25">
    <w:abstractNumId w:val="9"/>
  </w:num>
  <w:num w:numId="26">
    <w:abstractNumId w:val="10"/>
  </w:num>
  <w:num w:numId="27">
    <w:abstractNumId w:val="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10567"/>
    <w:rsid w:val="000121D9"/>
    <w:rsid w:val="000454F1"/>
    <w:rsid w:val="000515ED"/>
    <w:rsid w:val="0005397A"/>
    <w:rsid w:val="000734BD"/>
    <w:rsid w:val="00076B59"/>
    <w:rsid w:val="000829DE"/>
    <w:rsid w:val="00084C0D"/>
    <w:rsid w:val="00094792"/>
    <w:rsid w:val="00094A74"/>
    <w:rsid w:val="000A74D0"/>
    <w:rsid w:val="000C6BBB"/>
    <w:rsid w:val="000C7688"/>
    <w:rsid w:val="000D75F4"/>
    <w:rsid w:val="000D783D"/>
    <w:rsid w:val="000E18C9"/>
    <w:rsid w:val="000E21E1"/>
    <w:rsid w:val="000E5040"/>
    <w:rsid w:val="000E6028"/>
    <w:rsid w:val="000E69C5"/>
    <w:rsid w:val="000F5261"/>
    <w:rsid w:val="001004F9"/>
    <w:rsid w:val="00100CEF"/>
    <w:rsid w:val="00114677"/>
    <w:rsid w:val="00117675"/>
    <w:rsid w:val="00121883"/>
    <w:rsid w:val="00126A5A"/>
    <w:rsid w:val="00130692"/>
    <w:rsid w:val="001314FE"/>
    <w:rsid w:val="00133C9B"/>
    <w:rsid w:val="00134D57"/>
    <w:rsid w:val="0014403E"/>
    <w:rsid w:val="00166D33"/>
    <w:rsid w:val="00170B7E"/>
    <w:rsid w:val="00187DA1"/>
    <w:rsid w:val="00195883"/>
    <w:rsid w:val="00195894"/>
    <w:rsid w:val="001A065A"/>
    <w:rsid w:val="001A6D6B"/>
    <w:rsid w:val="001B50C8"/>
    <w:rsid w:val="001B6D19"/>
    <w:rsid w:val="001B7205"/>
    <w:rsid w:val="001C0BE9"/>
    <w:rsid w:val="001C1113"/>
    <w:rsid w:val="001C7ABD"/>
    <w:rsid w:val="001C7B38"/>
    <w:rsid w:val="001D2448"/>
    <w:rsid w:val="001D3E69"/>
    <w:rsid w:val="001D5D0D"/>
    <w:rsid w:val="001D6FFC"/>
    <w:rsid w:val="001E45FC"/>
    <w:rsid w:val="002021FE"/>
    <w:rsid w:val="002039C2"/>
    <w:rsid w:val="00204470"/>
    <w:rsid w:val="00205496"/>
    <w:rsid w:val="00205BE1"/>
    <w:rsid w:val="0020743E"/>
    <w:rsid w:val="0022323C"/>
    <w:rsid w:val="00226F6B"/>
    <w:rsid w:val="002351FE"/>
    <w:rsid w:val="00241D56"/>
    <w:rsid w:val="0024367C"/>
    <w:rsid w:val="00243B6E"/>
    <w:rsid w:val="00245BD8"/>
    <w:rsid w:val="00256409"/>
    <w:rsid w:val="00271795"/>
    <w:rsid w:val="002727F8"/>
    <w:rsid w:val="00277074"/>
    <w:rsid w:val="00281C07"/>
    <w:rsid w:val="00287478"/>
    <w:rsid w:val="0029065C"/>
    <w:rsid w:val="002948A3"/>
    <w:rsid w:val="00294A23"/>
    <w:rsid w:val="002A2621"/>
    <w:rsid w:val="002A4525"/>
    <w:rsid w:val="002A4F20"/>
    <w:rsid w:val="002B50DB"/>
    <w:rsid w:val="002C29AD"/>
    <w:rsid w:val="002C3481"/>
    <w:rsid w:val="002C37A1"/>
    <w:rsid w:val="002D0678"/>
    <w:rsid w:val="002D2EB3"/>
    <w:rsid w:val="002E07D1"/>
    <w:rsid w:val="002F5DBD"/>
    <w:rsid w:val="003015A4"/>
    <w:rsid w:val="00305406"/>
    <w:rsid w:val="00311F4F"/>
    <w:rsid w:val="00324AA9"/>
    <w:rsid w:val="00326580"/>
    <w:rsid w:val="00330530"/>
    <w:rsid w:val="00333240"/>
    <w:rsid w:val="003364BB"/>
    <w:rsid w:val="003375B7"/>
    <w:rsid w:val="0034115A"/>
    <w:rsid w:val="003431C6"/>
    <w:rsid w:val="00347DFF"/>
    <w:rsid w:val="0036018D"/>
    <w:rsid w:val="003618C6"/>
    <w:rsid w:val="0036582E"/>
    <w:rsid w:val="00371C1B"/>
    <w:rsid w:val="00372217"/>
    <w:rsid w:val="00376802"/>
    <w:rsid w:val="00385DB2"/>
    <w:rsid w:val="00386AB0"/>
    <w:rsid w:val="00394F0A"/>
    <w:rsid w:val="003955F6"/>
    <w:rsid w:val="003A06F2"/>
    <w:rsid w:val="003A2DF3"/>
    <w:rsid w:val="003A3981"/>
    <w:rsid w:val="003A51A5"/>
    <w:rsid w:val="003A5959"/>
    <w:rsid w:val="003B0673"/>
    <w:rsid w:val="003B3797"/>
    <w:rsid w:val="003B5EEC"/>
    <w:rsid w:val="003C44A3"/>
    <w:rsid w:val="003C7537"/>
    <w:rsid w:val="003C7E7F"/>
    <w:rsid w:val="003D12BA"/>
    <w:rsid w:val="003D5391"/>
    <w:rsid w:val="003D540F"/>
    <w:rsid w:val="003E0140"/>
    <w:rsid w:val="0040525C"/>
    <w:rsid w:val="004231D3"/>
    <w:rsid w:val="00427831"/>
    <w:rsid w:val="004428FA"/>
    <w:rsid w:val="00442A92"/>
    <w:rsid w:val="00444D4E"/>
    <w:rsid w:val="00470CAC"/>
    <w:rsid w:val="00470DBD"/>
    <w:rsid w:val="00477229"/>
    <w:rsid w:val="004835D1"/>
    <w:rsid w:val="00483D12"/>
    <w:rsid w:val="00491C5F"/>
    <w:rsid w:val="00492057"/>
    <w:rsid w:val="00497DB7"/>
    <w:rsid w:val="00497DEA"/>
    <w:rsid w:val="004A26F5"/>
    <w:rsid w:val="004A2E43"/>
    <w:rsid w:val="004A7AC7"/>
    <w:rsid w:val="004B57F3"/>
    <w:rsid w:val="004B5FBA"/>
    <w:rsid w:val="004D44C2"/>
    <w:rsid w:val="00500EE6"/>
    <w:rsid w:val="00503B20"/>
    <w:rsid w:val="00505993"/>
    <w:rsid w:val="00522D4D"/>
    <w:rsid w:val="0054237F"/>
    <w:rsid w:val="00543850"/>
    <w:rsid w:val="00545046"/>
    <w:rsid w:val="00546262"/>
    <w:rsid w:val="00555C01"/>
    <w:rsid w:val="00570A4F"/>
    <w:rsid w:val="0058229A"/>
    <w:rsid w:val="00582FEC"/>
    <w:rsid w:val="005B1CA5"/>
    <w:rsid w:val="005B2135"/>
    <w:rsid w:val="005B280C"/>
    <w:rsid w:val="005B3C41"/>
    <w:rsid w:val="005D0231"/>
    <w:rsid w:val="005D6EBD"/>
    <w:rsid w:val="005D702B"/>
    <w:rsid w:val="005D7F81"/>
    <w:rsid w:val="005E095C"/>
    <w:rsid w:val="005E59BA"/>
    <w:rsid w:val="005F052F"/>
    <w:rsid w:val="0060217E"/>
    <w:rsid w:val="006035C1"/>
    <w:rsid w:val="00613423"/>
    <w:rsid w:val="0061487C"/>
    <w:rsid w:val="00620375"/>
    <w:rsid w:val="0063114A"/>
    <w:rsid w:val="00634124"/>
    <w:rsid w:val="00636FD1"/>
    <w:rsid w:val="0064120A"/>
    <w:rsid w:val="006436C8"/>
    <w:rsid w:val="00643B20"/>
    <w:rsid w:val="0064616B"/>
    <w:rsid w:val="006534A2"/>
    <w:rsid w:val="00655422"/>
    <w:rsid w:val="0065652D"/>
    <w:rsid w:val="0066037B"/>
    <w:rsid w:val="00664CB3"/>
    <w:rsid w:val="006702AF"/>
    <w:rsid w:val="006728A6"/>
    <w:rsid w:val="006801A0"/>
    <w:rsid w:val="0068475A"/>
    <w:rsid w:val="006860C2"/>
    <w:rsid w:val="00692EC6"/>
    <w:rsid w:val="00695B27"/>
    <w:rsid w:val="006A093E"/>
    <w:rsid w:val="006A1793"/>
    <w:rsid w:val="006A48A7"/>
    <w:rsid w:val="006A5897"/>
    <w:rsid w:val="006A6251"/>
    <w:rsid w:val="006B0697"/>
    <w:rsid w:val="006B0719"/>
    <w:rsid w:val="006B0B4E"/>
    <w:rsid w:val="006C19F5"/>
    <w:rsid w:val="006C5366"/>
    <w:rsid w:val="006C6297"/>
    <w:rsid w:val="006C7D7F"/>
    <w:rsid w:val="006D0AA9"/>
    <w:rsid w:val="006D3006"/>
    <w:rsid w:val="006D3764"/>
    <w:rsid w:val="006E19FD"/>
    <w:rsid w:val="006F0F48"/>
    <w:rsid w:val="006F25E1"/>
    <w:rsid w:val="00700AFD"/>
    <w:rsid w:val="00714855"/>
    <w:rsid w:val="00733E43"/>
    <w:rsid w:val="007377BF"/>
    <w:rsid w:val="007519DD"/>
    <w:rsid w:val="0076255B"/>
    <w:rsid w:val="00766B5D"/>
    <w:rsid w:val="0077096F"/>
    <w:rsid w:val="00770C6C"/>
    <w:rsid w:val="00771A66"/>
    <w:rsid w:val="00793FF2"/>
    <w:rsid w:val="007C506A"/>
    <w:rsid w:val="007C5621"/>
    <w:rsid w:val="007E05C1"/>
    <w:rsid w:val="007E466D"/>
    <w:rsid w:val="007F7B26"/>
    <w:rsid w:val="008138D4"/>
    <w:rsid w:val="008168FB"/>
    <w:rsid w:val="00825927"/>
    <w:rsid w:val="00833B19"/>
    <w:rsid w:val="0085785A"/>
    <w:rsid w:val="008668C2"/>
    <w:rsid w:val="00872256"/>
    <w:rsid w:val="00873238"/>
    <w:rsid w:val="008739A1"/>
    <w:rsid w:val="0088253A"/>
    <w:rsid w:val="008A7375"/>
    <w:rsid w:val="008B131C"/>
    <w:rsid w:val="008B5B58"/>
    <w:rsid w:val="008B705D"/>
    <w:rsid w:val="008C09DC"/>
    <w:rsid w:val="008C3C7A"/>
    <w:rsid w:val="008E104C"/>
    <w:rsid w:val="0090433B"/>
    <w:rsid w:val="0092153F"/>
    <w:rsid w:val="00926037"/>
    <w:rsid w:val="00941361"/>
    <w:rsid w:val="009416B0"/>
    <w:rsid w:val="0094638A"/>
    <w:rsid w:val="00960152"/>
    <w:rsid w:val="00962545"/>
    <w:rsid w:val="00971D8C"/>
    <w:rsid w:val="00975B9C"/>
    <w:rsid w:val="009902AA"/>
    <w:rsid w:val="00992349"/>
    <w:rsid w:val="009A0570"/>
    <w:rsid w:val="009B1913"/>
    <w:rsid w:val="009B3C00"/>
    <w:rsid w:val="009B4399"/>
    <w:rsid w:val="009B5599"/>
    <w:rsid w:val="009C06AF"/>
    <w:rsid w:val="009C49D3"/>
    <w:rsid w:val="009D017B"/>
    <w:rsid w:val="009D203F"/>
    <w:rsid w:val="009D5B50"/>
    <w:rsid w:val="009E23FE"/>
    <w:rsid w:val="009E3FC6"/>
    <w:rsid w:val="009E5700"/>
    <w:rsid w:val="009F302C"/>
    <w:rsid w:val="009F73EE"/>
    <w:rsid w:val="00A04D5C"/>
    <w:rsid w:val="00A05AE0"/>
    <w:rsid w:val="00A14DCF"/>
    <w:rsid w:val="00A34665"/>
    <w:rsid w:val="00A34A13"/>
    <w:rsid w:val="00A367DE"/>
    <w:rsid w:val="00A4474F"/>
    <w:rsid w:val="00A46752"/>
    <w:rsid w:val="00A62BB7"/>
    <w:rsid w:val="00A62F16"/>
    <w:rsid w:val="00A632DA"/>
    <w:rsid w:val="00A65CB4"/>
    <w:rsid w:val="00A65FC6"/>
    <w:rsid w:val="00A7112E"/>
    <w:rsid w:val="00A7446B"/>
    <w:rsid w:val="00A82C95"/>
    <w:rsid w:val="00A835C8"/>
    <w:rsid w:val="00A83F80"/>
    <w:rsid w:val="00A8768C"/>
    <w:rsid w:val="00A92C9B"/>
    <w:rsid w:val="00A936B9"/>
    <w:rsid w:val="00A97DD0"/>
    <w:rsid w:val="00AA1920"/>
    <w:rsid w:val="00AA1CA9"/>
    <w:rsid w:val="00AB7657"/>
    <w:rsid w:val="00AC0EE3"/>
    <w:rsid w:val="00AC3AA7"/>
    <w:rsid w:val="00AD6D8E"/>
    <w:rsid w:val="00AE4A76"/>
    <w:rsid w:val="00AF0A10"/>
    <w:rsid w:val="00B06BB0"/>
    <w:rsid w:val="00B12873"/>
    <w:rsid w:val="00B17504"/>
    <w:rsid w:val="00B23E06"/>
    <w:rsid w:val="00B245AC"/>
    <w:rsid w:val="00B261BD"/>
    <w:rsid w:val="00B4194E"/>
    <w:rsid w:val="00B461B3"/>
    <w:rsid w:val="00B46568"/>
    <w:rsid w:val="00B508B5"/>
    <w:rsid w:val="00B763E2"/>
    <w:rsid w:val="00B875A5"/>
    <w:rsid w:val="00B87D68"/>
    <w:rsid w:val="00B93535"/>
    <w:rsid w:val="00B955FA"/>
    <w:rsid w:val="00B9673F"/>
    <w:rsid w:val="00BA5E32"/>
    <w:rsid w:val="00BB1821"/>
    <w:rsid w:val="00BB6643"/>
    <w:rsid w:val="00BC1612"/>
    <w:rsid w:val="00BF01B7"/>
    <w:rsid w:val="00BF3328"/>
    <w:rsid w:val="00C13009"/>
    <w:rsid w:val="00C22947"/>
    <w:rsid w:val="00C22E65"/>
    <w:rsid w:val="00C34D5E"/>
    <w:rsid w:val="00C53213"/>
    <w:rsid w:val="00C62CC5"/>
    <w:rsid w:val="00C64CBF"/>
    <w:rsid w:val="00C72357"/>
    <w:rsid w:val="00C8021B"/>
    <w:rsid w:val="00C82FD5"/>
    <w:rsid w:val="00CA1F1F"/>
    <w:rsid w:val="00CB7FAF"/>
    <w:rsid w:val="00CC3825"/>
    <w:rsid w:val="00CC4DBD"/>
    <w:rsid w:val="00CD2098"/>
    <w:rsid w:val="00CD2D3A"/>
    <w:rsid w:val="00CD54D6"/>
    <w:rsid w:val="00D16524"/>
    <w:rsid w:val="00D218E9"/>
    <w:rsid w:val="00D25069"/>
    <w:rsid w:val="00D43458"/>
    <w:rsid w:val="00D43EAE"/>
    <w:rsid w:val="00D45ADC"/>
    <w:rsid w:val="00D52F5A"/>
    <w:rsid w:val="00D539DA"/>
    <w:rsid w:val="00D54B93"/>
    <w:rsid w:val="00D70292"/>
    <w:rsid w:val="00D87EE9"/>
    <w:rsid w:val="00D907BE"/>
    <w:rsid w:val="00DA6A50"/>
    <w:rsid w:val="00DA7A1C"/>
    <w:rsid w:val="00DB3D4E"/>
    <w:rsid w:val="00DD71B0"/>
    <w:rsid w:val="00DE2CAA"/>
    <w:rsid w:val="00DE3D7B"/>
    <w:rsid w:val="00DF6410"/>
    <w:rsid w:val="00E01283"/>
    <w:rsid w:val="00E120BF"/>
    <w:rsid w:val="00E127EB"/>
    <w:rsid w:val="00E711F3"/>
    <w:rsid w:val="00E77396"/>
    <w:rsid w:val="00E804B0"/>
    <w:rsid w:val="00E84CEB"/>
    <w:rsid w:val="00E866A5"/>
    <w:rsid w:val="00E91434"/>
    <w:rsid w:val="00EA43FB"/>
    <w:rsid w:val="00EA70EB"/>
    <w:rsid w:val="00EB1470"/>
    <w:rsid w:val="00EB5408"/>
    <w:rsid w:val="00EC5788"/>
    <w:rsid w:val="00EC7360"/>
    <w:rsid w:val="00EE7D3A"/>
    <w:rsid w:val="00EF3654"/>
    <w:rsid w:val="00EF6C37"/>
    <w:rsid w:val="00F0268C"/>
    <w:rsid w:val="00F119B4"/>
    <w:rsid w:val="00F132AA"/>
    <w:rsid w:val="00F42097"/>
    <w:rsid w:val="00F479C9"/>
    <w:rsid w:val="00F55E26"/>
    <w:rsid w:val="00F64F21"/>
    <w:rsid w:val="00F73E0A"/>
    <w:rsid w:val="00F73E3E"/>
    <w:rsid w:val="00F815F7"/>
    <w:rsid w:val="00FC3845"/>
    <w:rsid w:val="00FD2285"/>
    <w:rsid w:val="00FE2195"/>
    <w:rsid w:val="00FE5AD9"/>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131AE5"/>
  <w15:docId w15:val="{41ADD2F6-1676-4A03-918A-55AFCFBB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3654"/>
    <w:rPr>
      <w:rFonts w:asciiTheme="minorHAnsi" w:eastAsia="Arial Unicode MS" w:hAnsiTheme="minorHAnsi"/>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Mark">
    <w:name w:val="tw4winMark"/>
    <w:rsid w:val="00971D8C"/>
    <w:rPr>
      <w:rFonts w:ascii="Courier New" w:hAnsi="Courier New"/>
      <w:vanish/>
      <w:color w:val="800080"/>
      <w:sz w:val="24"/>
      <w:vertAlign w:val="subscript"/>
    </w:r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522D4D"/>
    <w:rPr>
      <w:color w:val="605E5C"/>
      <w:shd w:val="clear" w:color="auto" w:fill="E1DFDD"/>
    </w:rPr>
  </w:style>
  <w:style w:type="character" w:styleId="UnresolvedMention">
    <w:name w:val="Unresolved Mention"/>
    <w:basedOn w:val="DefaultParagraphFont"/>
    <w:uiPriority w:val="99"/>
    <w:semiHidden/>
    <w:unhideWhenUsed/>
    <w:rsid w:val="00114677"/>
    <w:rPr>
      <w:color w:val="605E5C"/>
      <w:shd w:val="clear" w:color="auto" w:fill="E1DFDD"/>
    </w:rPr>
  </w:style>
  <w:style w:type="character" w:styleId="FollowedHyperlink">
    <w:name w:val="FollowedHyperlink"/>
    <w:basedOn w:val="DefaultParagraphFont"/>
    <w:semiHidden/>
    <w:unhideWhenUsed/>
    <w:rsid w:val="00A62F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vid19.act.gov.au/community/canberra-recover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10.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ink/ink1.xml"/><Relationship Id="rId5" Type="http://schemas.openxmlformats.org/officeDocument/2006/relationships/styles" Target="styles.xml"/><Relationship Id="rId15" Type="http://schemas.openxmlformats.org/officeDocument/2006/relationships/customXml" Target="ink/ink2.xml"/><Relationship Id="rId10" Type="http://schemas.openxmlformats.org/officeDocument/2006/relationships/hyperlink" Target="https://www.covid19.act.gov.au/community/canberra-recovery"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vid19.act.gov.au/__data/assets/pdf_file/0007/1554199/CV_Safety-Plan-Guidelines_2.2_Final-1906202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09T00:55:32.892"/>
    </inkml:context>
    <inkml:brush xml:id="br0">
      <inkml:brushProperty name="width" value="0.05" units="cm"/>
      <inkml:brushProperty name="height" value="0.05" units="cm"/>
    </inkml:brush>
  </inkml:definitions>
  <inkml:trace contextRef="#ctx0" brushRef="#br0">34 0 7706,'0'0'1856,"0"0"-1352,0 0-304,0 0 104,-34 0-32,34 0-104,0 0-120,0 0-48,0 0-8,0 0 0,0 0-48,0 2-248,0-2-320,4 0-608,13 0-1225,-13 0-3912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07T23:44:36.215"/>
    </inkml:context>
    <inkml:brush xml:id="br0">
      <inkml:brushProperty name="width" value="0.05" units="cm"/>
      <inkml:brushProperty name="height" value="0.05" units="cm"/>
    </inkml:brush>
  </inkml:definitions>
  <inkml:trace contextRef="#ctx0" brushRef="#br0">59 0 5049,'0'0'1720,"0"0"-1223,0 0-329,0 0-104,0 0-64,0 0-336,-59 0-681,59 0-1431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0A3E3-B1ED-4EC1-9D31-1DB4E6710C27}">
  <ds:schemaRefs>
    <ds:schemaRef ds:uri="34958884-07a2-4c1b-89fa-6f12bc62ed52"/>
    <ds:schemaRef ds:uri="http://schemas.openxmlformats.org/package/2006/metadata/core-properties"/>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3770d53c-bd17-423a-a432-f972ff08ea1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2</TotalTime>
  <Pages>3</Pages>
  <Words>1159</Words>
  <Characters>2596</Characters>
  <Application>Microsoft Office Word</Application>
  <DocSecurity>0</DocSecurity>
  <Lines>21</Lines>
  <Paragraphs>7</Paragraphs>
  <ScaleCrop>false</ScaleCrop>
  <HeadingPairs>
    <vt:vector size="2" baseType="variant">
      <vt:variant>
        <vt:lpstr>Title</vt:lpstr>
      </vt:variant>
      <vt:variant>
        <vt:i4>1</vt:i4>
      </vt:variant>
    </vt:vector>
  </HeadingPairs>
  <TitlesOfParts>
    <vt:vector size="1" baseType="lpstr">
      <vt:lpstr>Summary-of-Key-Changes-10-08-2020</vt:lpstr>
    </vt:vector>
  </TitlesOfParts>
  <Company>ACT Government</Company>
  <LinksUpToDate>false</LinksUpToDate>
  <CharactersWithSpaces>3748</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Summary-of-Key-Changes-10-08-2020</dc:title>
  <dc:subject>Summary-of-Key-Changes-10-08-2020</dc:subject>
  <dc:creator>ACT Government</dc:creator>
  <cp:keywords>COVID-19</cp:keywords>
  <dc:description>Chinese Traditional (Cantonese)_x000d_
</dc:description>
  <cp:lastModifiedBy>John Golubic</cp:lastModifiedBy>
  <cp:revision>3</cp:revision>
  <cp:lastPrinted>2020-07-28T00:19:00Z</cp:lastPrinted>
  <dcterms:created xsi:type="dcterms:W3CDTF">2020-08-09T08:20:00Z</dcterms:created>
  <dcterms:modified xsi:type="dcterms:W3CDTF">2020-08-09T08:21:00Z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