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72A888B3" w:rsidR="00A83F80" w:rsidRPr="00B23E06" w:rsidRDefault="002237FF" w:rsidP="00B23E06">
            <w:pPr>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Thai</w:t>
            </w:r>
          </w:p>
        </w:tc>
      </w:tr>
      <w:tr w:rsidR="00FE30FD" w:rsidRPr="006A48A7" w14:paraId="262ED7B7" w14:textId="77777777" w:rsidTr="006072BA">
        <w:trPr>
          <w:trHeight w:val="595"/>
        </w:trPr>
        <w:tc>
          <w:tcPr>
            <w:tcW w:w="7343" w:type="dxa"/>
            <w:shd w:val="clear" w:color="auto" w:fill="auto"/>
            <w:vAlign w:val="center"/>
          </w:tcPr>
          <w:p w14:paraId="5265BE7A" w14:textId="6575CDD5" w:rsidR="00FE30FD" w:rsidRPr="00114677" w:rsidRDefault="00FE30FD" w:rsidP="00FE30FD">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24492C22" w14:textId="1EBE60DD" w:rsidR="00FE30FD" w:rsidRPr="002237FF" w:rsidRDefault="00FE30FD" w:rsidP="00FE30FD">
            <w:pPr>
              <w:rPr>
                <w:rFonts w:ascii="Tahoma" w:eastAsia="Arial Unicode MS" w:hAnsi="Tahoma" w:cs="Tahoma"/>
                <w:sz w:val="22"/>
                <w:szCs w:val="22"/>
              </w:rPr>
            </w:pPr>
            <w:proofErr w:type="spellStart"/>
            <w:r w:rsidRPr="002237FF">
              <w:rPr>
                <w:rFonts w:ascii="Tahoma" w:hAnsi="Tahoma" w:cs="Tahoma"/>
                <w:b/>
                <w:snapToGrid/>
                <w:sz w:val="22"/>
                <w:szCs w:val="22"/>
                <w:lang w:bidi="th-TH"/>
              </w:rPr>
              <w:t>การเปลี่ยนแปลงที่สำคัญของมาตรการโดยสรุป</w:t>
            </w:r>
            <w:proofErr w:type="spellEnd"/>
          </w:p>
        </w:tc>
      </w:tr>
      <w:tr w:rsidR="00FE30FD" w:rsidRPr="006072BA" w14:paraId="302745C2" w14:textId="77777777" w:rsidTr="006072BA">
        <w:trPr>
          <w:trHeight w:val="1302"/>
        </w:trPr>
        <w:tc>
          <w:tcPr>
            <w:tcW w:w="7343" w:type="dxa"/>
            <w:shd w:val="clear" w:color="auto" w:fill="auto"/>
            <w:vAlign w:val="center"/>
          </w:tcPr>
          <w:p w14:paraId="457D2445" w14:textId="35A4B969" w:rsidR="00FE30FD" w:rsidRPr="006072BA" w:rsidRDefault="00FE30FD" w:rsidP="00FE30FD">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Stage 3,</w:t>
            </w:r>
            <w:r w:rsidRPr="006072BA">
              <w:rPr>
                <w:rFonts w:asciiTheme="minorBidi" w:eastAsia="SimSun" w:hAnsiTheme="minorBidi" w:cstheme="minorBidi"/>
                <w:snapToGrid/>
                <w:lang w:eastAsia="en-AU"/>
              </w:rPr>
              <w:t> </w:t>
            </w:r>
            <w:r w:rsidRPr="006072BA">
              <w:rPr>
                <w:rFonts w:asciiTheme="minorBidi" w:eastAsia="SimSun" w:hAnsiTheme="minorBidi" w:cstheme="minorBidi"/>
                <w:b/>
                <w:bCs/>
                <w:snapToGrid/>
                <w:lang w:eastAsia="en-AU"/>
              </w:rPr>
              <w:t>Step 3.1</w:t>
            </w:r>
            <w:r w:rsidRPr="006072BA">
              <w:rPr>
                <w:rFonts w:asciiTheme="minorBidi" w:eastAsia="SimSun" w:hAnsiTheme="minorBidi" w:cstheme="minorBidi"/>
                <w:snapToGrid/>
                <w:lang w:eastAsia="en-AU"/>
              </w:rPr>
              <w:t> of </w:t>
            </w:r>
            <w:hyperlink r:id="rId10" w:history="1">
              <w:r w:rsidRPr="006072BA">
                <w:rPr>
                  <w:rStyle w:val="Hyperlink"/>
                  <w:rFonts w:asciiTheme="minorBidi" w:eastAsia="SimSun" w:hAnsiTheme="minorBidi" w:cstheme="minorBidi"/>
                  <w:snapToGrid/>
                  <w:lang w:eastAsia="en-AU"/>
                </w:rPr>
                <w:t>Canberra’s Recovery Plan</w:t>
              </w:r>
            </w:hyperlink>
            <w:r w:rsidRPr="006072BA">
              <w:rPr>
                <w:rFonts w:asciiTheme="minorBidi" w:eastAsia="SimSun" w:hAnsiTheme="minorBidi" w:cstheme="minorBidi"/>
                <w:snapToGrid/>
                <w:lang w:eastAsia="en-AU"/>
              </w:rPr>
              <w:t> includes minor and cautious changes to COVID-19 restrictions in the ACT for some sectors that have been closed since March.</w:t>
            </w:r>
          </w:p>
        </w:tc>
        <w:tc>
          <w:tcPr>
            <w:tcW w:w="7655" w:type="dxa"/>
            <w:shd w:val="clear" w:color="auto" w:fill="auto"/>
            <w:vAlign w:val="center"/>
          </w:tcPr>
          <w:p w14:paraId="6CE534CB" w14:textId="0896C10D" w:rsidR="00FE30FD" w:rsidRPr="002237FF" w:rsidRDefault="00FE30FD" w:rsidP="00FE30FD">
            <w:pPr>
              <w:rPr>
                <w:rFonts w:ascii="Tahoma" w:eastAsia="Arial Unicode MS" w:hAnsi="Tahoma" w:cs="Tahoma"/>
                <w:sz w:val="22"/>
                <w:szCs w:val="22"/>
              </w:rPr>
            </w:pPr>
            <w:proofErr w:type="spellStart"/>
            <w:r w:rsidRPr="002237FF">
              <w:rPr>
                <w:rFonts w:ascii="Tahoma" w:hAnsi="Tahoma" w:cs="Tahoma"/>
                <w:b/>
                <w:snapToGrid/>
                <w:sz w:val="22"/>
                <w:szCs w:val="22"/>
                <w:lang w:bidi="th-TH"/>
              </w:rPr>
              <w:t>ระยะที่</w:t>
            </w:r>
            <w:proofErr w:type="spellEnd"/>
            <w:r w:rsidRPr="002237FF">
              <w:rPr>
                <w:rFonts w:ascii="Tahoma" w:hAnsi="Tahoma" w:cs="Tahoma"/>
                <w:b/>
                <w:snapToGrid/>
                <w:sz w:val="22"/>
                <w:szCs w:val="22"/>
              </w:rPr>
              <w:t xml:space="preserve"> 3 </w:t>
            </w:r>
            <w:proofErr w:type="spellStart"/>
            <w:r w:rsidRPr="002237FF">
              <w:rPr>
                <w:rFonts w:ascii="Tahoma" w:hAnsi="Tahoma" w:cs="Tahoma"/>
                <w:b/>
                <w:snapToGrid/>
                <w:sz w:val="22"/>
                <w:szCs w:val="22"/>
                <w:lang w:bidi="th-TH"/>
              </w:rPr>
              <w:t>ขั้น</w:t>
            </w:r>
            <w:proofErr w:type="spellEnd"/>
            <w:r w:rsidRPr="002237FF">
              <w:rPr>
                <w:rFonts w:ascii="Tahoma" w:hAnsi="Tahoma" w:cs="Tahoma"/>
                <w:b/>
                <w:snapToGrid/>
                <w:sz w:val="22"/>
                <w:szCs w:val="22"/>
              </w:rPr>
              <w:t xml:space="preserve"> 3.1</w:t>
            </w:r>
            <w:r w:rsidRPr="002237FF">
              <w:rPr>
                <w:rFonts w:ascii="Tahoma" w:hAnsi="Tahoma" w:cs="Tahoma"/>
                <w:snapToGrid/>
                <w:sz w:val="22"/>
                <w:szCs w:val="22"/>
              </w:rPr>
              <w:t> </w:t>
            </w:r>
            <w:proofErr w:type="spellStart"/>
            <w:r w:rsidRPr="002237FF">
              <w:rPr>
                <w:rFonts w:ascii="Tahoma" w:hAnsi="Tahoma" w:cs="Tahoma"/>
                <w:snapToGrid/>
                <w:sz w:val="22"/>
                <w:szCs w:val="22"/>
                <w:lang w:bidi="th-TH"/>
              </w:rPr>
              <w:t>ของ</w:t>
            </w:r>
            <w:hyperlink r:id="rId11" w:history="1">
              <w:r w:rsidRPr="002237FF">
                <w:rPr>
                  <w:rStyle w:val="Hyperlink"/>
                  <w:rFonts w:ascii="Tahoma" w:hAnsi="Tahoma" w:cs="Tahoma"/>
                  <w:snapToGrid/>
                  <w:sz w:val="22"/>
                  <w:szCs w:val="22"/>
                  <w:lang w:bidi="th-TH"/>
                </w:rPr>
                <w:t>แผนฟื้นฟูกรุงแคนเบอร์รา</w:t>
              </w:r>
              <w:proofErr w:type="spellEnd"/>
            </w:hyperlink>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รวมถึงการเปลี่ยนแปลงเล็กน้อยและข้อพึงระวังของมาตรการป้องกัน</w:t>
            </w:r>
            <w:proofErr w:type="spellEnd"/>
            <w:r w:rsidRPr="002237FF">
              <w:rPr>
                <w:rFonts w:ascii="Tahoma" w:hAnsi="Tahoma" w:cs="Tahoma"/>
                <w:snapToGrid/>
                <w:sz w:val="22"/>
                <w:szCs w:val="22"/>
              </w:rPr>
              <w:t xml:space="preserve"> COVID-19 </w:t>
            </w:r>
            <w:proofErr w:type="spellStart"/>
            <w:r w:rsidRPr="002237FF">
              <w:rPr>
                <w:rFonts w:ascii="Tahoma" w:hAnsi="Tahoma" w:cs="Tahoma"/>
                <w:snapToGrid/>
                <w:sz w:val="22"/>
                <w:szCs w:val="22"/>
                <w:lang w:bidi="th-TH"/>
              </w:rPr>
              <w:t>ใน</w:t>
            </w:r>
            <w:proofErr w:type="spellEnd"/>
            <w:r w:rsidRPr="002237FF">
              <w:rPr>
                <w:rFonts w:ascii="Tahoma" w:hAnsi="Tahoma" w:cs="Tahoma"/>
                <w:snapToGrid/>
                <w:sz w:val="22"/>
                <w:szCs w:val="22"/>
              </w:rPr>
              <w:t xml:space="preserve"> ACT </w:t>
            </w:r>
            <w:proofErr w:type="spellStart"/>
            <w:r w:rsidRPr="002237FF">
              <w:rPr>
                <w:rFonts w:ascii="Tahoma" w:hAnsi="Tahoma" w:cs="Tahoma"/>
                <w:snapToGrid/>
                <w:sz w:val="22"/>
                <w:szCs w:val="22"/>
                <w:lang w:bidi="th-TH"/>
              </w:rPr>
              <w:t>สำหรับบางภาคส่วนที่ได้ปิดกิจการไปตั้งแต่เดือนมีนาคม</w:t>
            </w:r>
            <w:proofErr w:type="spellEnd"/>
          </w:p>
        </w:tc>
      </w:tr>
      <w:tr w:rsidR="00FE30FD" w:rsidRPr="006072BA" w14:paraId="477E6CCA" w14:textId="77777777" w:rsidTr="006072BA">
        <w:trPr>
          <w:trHeight w:val="850"/>
        </w:trPr>
        <w:tc>
          <w:tcPr>
            <w:tcW w:w="7343" w:type="dxa"/>
            <w:shd w:val="clear" w:color="auto" w:fill="auto"/>
            <w:vAlign w:val="center"/>
          </w:tcPr>
          <w:p w14:paraId="746C71CF" w14:textId="0FE3E7E9" w:rsidR="00FE30FD" w:rsidRPr="006072BA" w:rsidRDefault="00FE30FD" w:rsidP="00FE30FD">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The following changes apply from </w:t>
            </w:r>
            <w:r w:rsidRPr="006072BA">
              <w:rPr>
                <w:rFonts w:asciiTheme="minorBidi" w:eastAsia="SimSun" w:hAnsiTheme="minorBidi" w:cstheme="minorBidi"/>
                <w:b/>
                <w:bCs/>
                <w:snapToGrid/>
                <w:lang w:eastAsia="en-AU"/>
              </w:rPr>
              <w:t>11:59pm, Tuesday 1 September 2020:</w:t>
            </w:r>
            <w:bookmarkStart w:id="0" w:name="_GoBack"/>
            <w:bookmarkEnd w:id="0"/>
          </w:p>
        </w:tc>
        <w:tc>
          <w:tcPr>
            <w:tcW w:w="7655" w:type="dxa"/>
            <w:shd w:val="clear" w:color="auto" w:fill="auto"/>
            <w:vAlign w:val="center"/>
          </w:tcPr>
          <w:p w14:paraId="7F56FEEB" w14:textId="1A78BD22" w:rsidR="00FE30FD" w:rsidRPr="002237FF" w:rsidRDefault="00FE30FD" w:rsidP="00FE30FD">
            <w:pPr>
              <w:rPr>
                <w:rFonts w:ascii="Tahoma" w:eastAsia="Arial Unicode MS" w:hAnsi="Tahoma" w:cs="Tahoma"/>
                <w:sz w:val="22"/>
                <w:szCs w:val="22"/>
              </w:rPr>
            </w:pPr>
            <w:proofErr w:type="spellStart"/>
            <w:r w:rsidRPr="002237FF">
              <w:rPr>
                <w:rFonts w:ascii="Tahoma" w:hAnsi="Tahoma" w:cs="Tahoma"/>
                <w:snapToGrid/>
                <w:sz w:val="22"/>
                <w:szCs w:val="22"/>
                <w:lang w:bidi="th-TH"/>
              </w:rPr>
              <w:t>การเปลี่ยนแปลงต่อไปนี้จะมีผลบังคับใช้ตั้งแต่เวลา</w:t>
            </w:r>
            <w:proofErr w:type="spellEnd"/>
            <w:r w:rsidRPr="002237FF">
              <w:rPr>
                <w:rFonts w:ascii="Tahoma" w:hAnsi="Tahoma" w:cs="Tahoma"/>
                <w:snapToGrid/>
                <w:sz w:val="22"/>
                <w:szCs w:val="22"/>
              </w:rPr>
              <w:t xml:space="preserve"> </w:t>
            </w:r>
            <w:r w:rsidRPr="00210822">
              <w:rPr>
                <w:rFonts w:ascii="Tahoma" w:hAnsi="Tahoma" w:cs="Tahoma"/>
                <w:b/>
                <w:bCs/>
                <w:snapToGrid/>
                <w:sz w:val="22"/>
                <w:szCs w:val="22"/>
              </w:rPr>
              <w:t xml:space="preserve">23.59 </w:t>
            </w:r>
            <w:r w:rsidRPr="00210822">
              <w:rPr>
                <w:rFonts w:ascii="Tahoma" w:hAnsi="Tahoma" w:cs="Tahoma"/>
                <w:b/>
                <w:bCs/>
                <w:snapToGrid/>
                <w:sz w:val="22"/>
                <w:szCs w:val="22"/>
                <w:lang w:bidi="th-TH"/>
              </w:rPr>
              <w:t>น</w:t>
            </w:r>
            <w:r w:rsidRPr="00210822">
              <w:rPr>
                <w:rFonts w:ascii="Tahoma" w:hAnsi="Tahoma" w:cs="Tahoma"/>
                <w:b/>
                <w:bCs/>
                <w:snapToGrid/>
                <w:sz w:val="22"/>
                <w:szCs w:val="22"/>
              </w:rPr>
              <w:t xml:space="preserve">. </w:t>
            </w:r>
            <w:proofErr w:type="spellStart"/>
            <w:r w:rsidRPr="00210822">
              <w:rPr>
                <w:rFonts w:ascii="Tahoma" w:hAnsi="Tahoma" w:cs="Tahoma"/>
                <w:b/>
                <w:bCs/>
                <w:snapToGrid/>
                <w:sz w:val="22"/>
                <w:szCs w:val="22"/>
                <w:lang w:bidi="th-TH"/>
              </w:rPr>
              <w:t>ของวันอังคารที่</w:t>
            </w:r>
            <w:proofErr w:type="spellEnd"/>
            <w:r w:rsidRPr="00210822">
              <w:rPr>
                <w:rFonts w:ascii="Tahoma" w:hAnsi="Tahoma" w:cs="Tahoma"/>
                <w:b/>
                <w:bCs/>
                <w:snapToGrid/>
                <w:sz w:val="22"/>
                <w:szCs w:val="22"/>
              </w:rPr>
              <w:t xml:space="preserve"> 1</w:t>
            </w:r>
            <w:r w:rsidRPr="002237FF">
              <w:rPr>
                <w:rFonts w:ascii="Tahoma" w:hAnsi="Tahoma" w:cs="Tahoma"/>
                <w:snapToGrid/>
                <w:sz w:val="22"/>
                <w:szCs w:val="22"/>
              </w:rPr>
              <w:t xml:space="preserve"> </w:t>
            </w:r>
            <w:proofErr w:type="spellStart"/>
            <w:r w:rsidRPr="00210822">
              <w:rPr>
                <w:rFonts w:ascii="Tahoma" w:hAnsi="Tahoma" w:cs="Tahoma"/>
                <w:b/>
                <w:bCs/>
                <w:snapToGrid/>
                <w:sz w:val="22"/>
                <w:szCs w:val="22"/>
                <w:lang w:bidi="th-TH"/>
              </w:rPr>
              <w:t>กันยายน</w:t>
            </w:r>
            <w:proofErr w:type="spellEnd"/>
            <w:r w:rsidRPr="00210822">
              <w:rPr>
                <w:rFonts w:ascii="Tahoma" w:hAnsi="Tahoma" w:cs="Tahoma"/>
                <w:b/>
                <w:bCs/>
                <w:snapToGrid/>
                <w:sz w:val="22"/>
                <w:szCs w:val="22"/>
              </w:rPr>
              <w:t xml:space="preserve"> 2020</w:t>
            </w:r>
          </w:p>
        </w:tc>
      </w:tr>
      <w:tr w:rsidR="00FE30FD" w:rsidRPr="006072BA" w14:paraId="38843E3B" w14:textId="77777777" w:rsidTr="006072BA">
        <w:trPr>
          <w:trHeight w:val="4094"/>
        </w:trPr>
        <w:tc>
          <w:tcPr>
            <w:tcW w:w="7343" w:type="dxa"/>
            <w:shd w:val="clear" w:color="auto" w:fill="auto"/>
            <w:vAlign w:val="center"/>
          </w:tcPr>
          <w:p w14:paraId="294E117C" w14:textId="77777777" w:rsidR="00FE30FD" w:rsidRPr="006072BA" w:rsidRDefault="00FE30FD" w:rsidP="00FE30FD">
            <w:pPr>
              <w:numPr>
                <w:ilvl w:val="0"/>
                <w:numId w:val="28"/>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Venues, facilities and businesses can continue to have up to 100 patrons in each indoor space and each outdoor space, or one person per 4 square metres per usable space, whichever is lesser.</w:t>
            </w:r>
          </w:p>
          <w:p w14:paraId="294FB424" w14:textId="6762B240" w:rsidR="00FE30FD" w:rsidRPr="006072BA" w:rsidRDefault="00FE30FD" w:rsidP="00FE30FD">
            <w:pPr>
              <w:numPr>
                <w:ilvl w:val="0"/>
                <w:numId w:val="28"/>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Community sporting activities (other than for classes and training) can have a maximum of 100 spectators for each indoor and each outdoor space, where the one person per 4 square metres of usable space can be observed.  This </w:t>
            </w:r>
            <w:r w:rsidRPr="006072BA">
              <w:rPr>
                <w:rFonts w:asciiTheme="minorBidi" w:eastAsia="SimSun" w:hAnsiTheme="minorBidi" w:cstheme="minorBidi"/>
                <w:b/>
                <w:bCs/>
                <w:snapToGrid/>
                <w:lang w:eastAsia="en-AU"/>
              </w:rPr>
              <w:t>excludes staff and participants.  This includes community sporting activities taking place at a swimming pool, such as competitive races or water polo matches.</w:t>
            </w:r>
          </w:p>
        </w:tc>
        <w:tc>
          <w:tcPr>
            <w:tcW w:w="7655" w:type="dxa"/>
            <w:shd w:val="clear" w:color="auto" w:fill="auto"/>
            <w:vAlign w:val="center"/>
          </w:tcPr>
          <w:p w14:paraId="303638EB" w14:textId="2124043F" w:rsidR="00AC39D6" w:rsidRPr="008E77B0" w:rsidRDefault="00FE30FD" w:rsidP="00FE30FD">
            <w:pPr>
              <w:numPr>
                <w:ilvl w:val="0"/>
                <w:numId w:val="28"/>
              </w:numPr>
              <w:autoSpaceDE w:val="0"/>
              <w:autoSpaceDN w:val="0"/>
              <w:adjustRightInd w:val="0"/>
              <w:rPr>
                <w:rFonts w:ascii="Tahoma" w:hAnsi="Tahoma" w:cs="Tahoma"/>
                <w:b/>
                <w:bCs/>
                <w:snapToGrid/>
                <w:sz w:val="22"/>
                <w:szCs w:val="22"/>
              </w:rPr>
            </w:pPr>
            <w:proofErr w:type="spellStart"/>
            <w:r w:rsidRPr="008E77B0">
              <w:rPr>
                <w:rFonts w:ascii="Tahoma" w:hAnsi="Tahoma" w:cs="Tahoma"/>
                <w:b/>
                <w:bCs/>
                <w:snapToGrid/>
                <w:sz w:val="22"/>
                <w:szCs w:val="22"/>
                <w:lang w:bidi="th-TH"/>
              </w:rPr>
              <w:t>สถานประกอบการ</w:t>
            </w:r>
            <w:proofErr w:type="spellEnd"/>
            <w:r w:rsidRPr="008E77B0">
              <w:rPr>
                <w:rFonts w:ascii="Tahoma" w:hAnsi="Tahoma" w:cs="Tahoma"/>
                <w:b/>
                <w:bCs/>
                <w:snapToGrid/>
                <w:sz w:val="22"/>
                <w:szCs w:val="22"/>
              </w:rPr>
              <w:t xml:space="preserve"> </w:t>
            </w:r>
            <w:proofErr w:type="spellStart"/>
            <w:r w:rsidRPr="008E77B0">
              <w:rPr>
                <w:rFonts w:ascii="Tahoma" w:hAnsi="Tahoma" w:cs="Tahoma"/>
                <w:b/>
                <w:bCs/>
                <w:snapToGrid/>
                <w:sz w:val="22"/>
                <w:szCs w:val="22"/>
                <w:lang w:bidi="th-TH"/>
              </w:rPr>
              <w:t>สถานอำนวยความสะดวก</w:t>
            </w:r>
            <w:proofErr w:type="spellEnd"/>
            <w:r w:rsidRPr="008E77B0">
              <w:rPr>
                <w:rFonts w:ascii="Tahoma" w:hAnsi="Tahoma" w:cs="Tahoma"/>
                <w:b/>
                <w:bCs/>
                <w:snapToGrid/>
                <w:sz w:val="22"/>
                <w:szCs w:val="22"/>
              </w:rPr>
              <w:t xml:space="preserve"> </w:t>
            </w:r>
            <w:proofErr w:type="spellStart"/>
            <w:r w:rsidRPr="008E77B0">
              <w:rPr>
                <w:rFonts w:ascii="Tahoma" w:hAnsi="Tahoma" w:cs="Tahoma"/>
                <w:b/>
                <w:bCs/>
                <w:snapToGrid/>
                <w:sz w:val="22"/>
                <w:szCs w:val="22"/>
                <w:lang w:bidi="th-TH"/>
              </w:rPr>
              <w:t>และธุรกิจทั้งหมดสามารถรับลูกค้าได้ไม่เกิน</w:t>
            </w:r>
            <w:proofErr w:type="spellEnd"/>
            <w:r w:rsidRPr="008E77B0">
              <w:rPr>
                <w:rFonts w:ascii="Tahoma" w:hAnsi="Tahoma" w:cs="Tahoma"/>
                <w:b/>
                <w:bCs/>
                <w:snapToGrid/>
                <w:sz w:val="22"/>
                <w:szCs w:val="22"/>
              </w:rPr>
              <w:t xml:space="preserve"> 100 </w:t>
            </w:r>
            <w:proofErr w:type="spellStart"/>
            <w:r w:rsidRPr="008E77B0">
              <w:rPr>
                <w:rFonts w:ascii="Tahoma" w:hAnsi="Tahoma" w:cs="Tahoma"/>
                <w:b/>
                <w:bCs/>
                <w:snapToGrid/>
                <w:sz w:val="22"/>
                <w:szCs w:val="22"/>
                <w:lang w:bidi="th-TH"/>
              </w:rPr>
              <w:t>คนสำหรับแต่ละพื้น</w:t>
            </w:r>
            <w:proofErr w:type="spellEnd"/>
            <w:r w:rsidR="008E77B0" w:rsidRPr="008E77B0">
              <w:rPr>
                <w:rFonts w:ascii="Tahoma" w:hAnsi="Tahoma" w:cs="Tahoma" w:hint="cs"/>
                <w:b/>
                <w:bCs/>
                <w:snapToGrid/>
                <w:sz w:val="22"/>
                <w:szCs w:val="22"/>
                <w:cs/>
                <w:lang w:bidi="th-TH"/>
              </w:rPr>
              <w:t>ที่</w:t>
            </w:r>
            <w:proofErr w:type="spellStart"/>
            <w:r w:rsidRPr="008E77B0">
              <w:rPr>
                <w:rFonts w:ascii="Tahoma" w:hAnsi="Tahoma" w:cs="Tahoma"/>
                <w:b/>
                <w:bCs/>
                <w:snapToGrid/>
                <w:sz w:val="22"/>
                <w:szCs w:val="22"/>
                <w:lang w:bidi="th-TH"/>
              </w:rPr>
              <w:t>ทั้งในอาคารและนอกอาคาร</w:t>
            </w:r>
            <w:proofErr w:type="spellEnd"/>
            <w:r w:rsidRPr="008E77B0">
              <w:rPr>
                <w:rFonts w:ascii="Tahoma" w:hAnsi="Tahoma" w:cs="Tahoma"/>
                <w:b/>
                <w:bCs/>
                <w:snapToGrid/>
                <w:sz w:val="22"/>
                <w:szCs w:val="22"/>
              </w:rPr>
              <w:t xml:space="preserve"> </w:t>
            </w:r>
            <w:proofErr w:type="spellStart"/>
            <w:r w:rsidRPr="008E77B0">
              <w:rPr>
                <w:rFonts w:ascii="Tahoma" w:hAnsi="Tahoma" w:cs="Tahoma"/>
                <w:b/>
                <w:bCs/>
                <w:snapToGrid/>
                <w:sz w:val="22"/>
                <w:szCs w:val="22"/>
                <w:lang w:bidi="th-TH"/>
              </w:rPr>
              <w:t>หรือ</w:t>
            </w:r>
            <w:proofErr w:type="spellEnd"/>
            <w:r w:rsidRPr="008E77B0">
              <w:rPr>
                <w:rFonts w:ascii="Tahoma" w:hAnsi="Tahoma" w:cs="Tahoma"/>
                <w:b/>
                <w:bCs/>
                <w:snapToGrid/>
                <w:sz w:val="22"/>
                <w:szCs w:val="22"/>
              </w:rPr>
              <w:t xml:space="preserve"> 1 </w:t>
            </w:r>
            <w:proofErr w:type="spellStart"/>
            <w:r w:rsidRPr="008E77B0">
              <w:rPr>
                <w:rFonts w:ascii="Tahoma" w:hAnsi="Tahoma" w:cs="Tahoma"/>
                <w:b/>
                <w:bCs/>
                <w:snapToGrid/>
                <w:sz w:val="22"/>
                <w:szCs w:val="22"/>
                <w:lang w:bidi="th-TH"/>
              </w:rPr>
              <w:t>คนต่อพื้นที่ใช้สอย</w:t>
            </w:r>
            <w:proofErr w:type="spellEnd"/>
            <w:r w:rsidRPr="008E77B0">
              <w:rPr>
                <w:rFonts w:ascii="Tahoma" w:hAnsi="Tahoma" w:cs="Tahoma"/>
                <w:b/>
                <w:bCs/>
                <w:snapToGrid/>
                <w:sz w:val="22"/>
                <w:szCs w:val="22"/>
              </w:rPr>
              <w:t xml:space="preserve"> 4 </w:t>
            </w:r>
            <w:proofErr w:type="spellStart"/>
            <w:r w:rsidRPr="008E77B0">
              <w:rPr>
                <w:rFonts w:ascii="Tahoma" w:hAnsi="Tahoma" w:cs="Tahoma"/>
                <w:b/>
                <w:bCs/>
                <w:snapToGrid/>
                <w:sz w:val="22"/>
                <w:szCs w:val="22"/>
                <w:lang w:bidi="th-TH"/>
              </w:rPr>
              <w:t>ตารางเมตร</w:t>
            </w:r>
            <w:proofErr w:type="spellEnd"/>
            <w:r w:rsidRPr="008E77B0">
              <w:rPr>
                <w:rFonts w:ascii="Tahoma" w:hAnsi="Tahoma" w:cs="Tahoma"/>
                <w:b/>
                <w:bCs/>
                <w:snapToGrid/>
                <w:sz w:val="22"/>
                <w:szCs w:val="22"/>
              </w:rPr>
              <w:t xml:space="preserve"> </w:t>
            </w:r>
            <w:proofErr w:type="spellStart"/>
            <w:r w:rsidRPr="008E77B0">
              <w:rPr>
                <w:rFonts w:ascii="Tahoma" w:hAnsi="Tahoma" w:cs="Tahoma"/>
                <w:b/>
                <w:bCs/>
                <w:snapToGrid/>
                <w:sz w:val="22"/>
                <w:szCs w:val="22"/>
                <w:lang w:bidi="th-TH"/>
              </w:rPr>
              <w:t>ขึ้นอยู่ว่าจำนวนไหนจะน้อยกว่ากัน</w:t>
            </w:r>
            <w:proofErr w:type="spellEnd"/>
          </w:p>
          <w:p w14:paraId="71BE9C6F" w14:textId="3FB5345F" w:rsidR="00FE30FD" w:rsidRPr="00AC39D6" w:rsidRDefault="00FE30FD" w:rsidP="00FE30FD">
            <w:pPr>
              <w:numPr>
                <w:ilvl w:val="0"/>
                <w:numId w:val="28"/>
              </w:numPr>
              <w:autoSpaceDE w:val="0"/>
              <w:autoSpaceDN w:val="0"/>
              <w:adjustRightInd w:val="0"/>
              <w:rPr>
                <w:rFonts w:ascii="Tahoma" w:eastAsia="SimSun" w:hAnsi="Tahoma" w:cs="Tahoma"/>
                <w:snapToGrid/>
                <w:sz w:val="22"/>
                <w:szCs w:val="22"/>
              </w:rPr>
            </w:pPr>
            <w:proofErr w:type="spellStart"/>
            <w:r w:rsidRPr="00AC39D6">
              <w:rPr>
                <w:rFonts w:ascii="Tahoma" w:hAnsi="Tahoma" w:cs="Tahoma"/>
                <w:snapToGrid/>
                <w:sz w:val="22"/>
                <w:szCs w:val="22"/>
                <w:lang w:bidi="th-TH"/>
              </w:rPr>
              <w:t>กิจกรรมกีฬาชุมชน</w:t>
            </w:r>
            <w:proofErr w:type="spellEnd"/>
            <w:r w:rsidRPr="00AC39D6">
              <w:rPr>
                <w:rFonts w:ascii="Tahoma" w:hAnsi="Tahoma" w:cs="Tahoma"/>
                <w:snapToGrid/>
                <w:sz w:val="22"/>
                <w:szCs w:val="22"/>
              </w:rPr>
              <w:t xml:space="preserve"> (</w:t>
            </w:r>
            <w:proofErr w:type="spellStart"/>
            <w:r w:rsidRPr="00AC39D6">
              <w:rPr>
                <w:rFonts w:ascii="Tahoma" w:hAnsi="Tahoma" w:cs="Tahoma"/>
                <w:snapToGrid/>
                <w:sz w:val="22"/>
                <w:szCs w:val="22"/>
                <w:lang w:bidi="th-TH"/>
              </w:rPr>
              <w:t>ที่ไม่ใช่ชั้นเรียนหรือการฝึกสมรรถนะ</w:t>
            </w:r>
            <w:proofErr w:type="spellEnd"/>
            <w:r w:rsidRPr="00AC39D6">
              <w:rPr>
                <w:rFonts w:ascii="Tahoma" w:hAnsi="Tahoma" w:cs="Tahoma"/>
                <w:snapToGrid/>
                <w:sz w:val="22"/>
                <w:szCs w:val="22"/>
              </w:rPr>
              <w:t xml:space="preserve">) </w:t>
            </w:r>
            <w:proofErr w:type="spellStart"/>
            <w:r w:rsidRPr="00AC39D6">
              <w:rPr>
                <w:rFonts w:ascii="Tahoma" w:hAnsi="Tahoma" w:cs="Tahoma"/>
                <w:snapToGrid/>
                <w:sz w:val="22"/>
                <w:szCs w:val="22"/>
                <w:lang w:bidi="th-TH"/>
              </w:rPr>
              <w:t>สามารถมีผู้ชมได้มากที่สุด</w:t>
            </w:r>
            <w:proofErr w:type="spellEnd"/>
            <w:r w:rsidRPr="00AC39D6">
              <w:rPr>
                <w:rFonts w:ascii="Tahoma" w:hAnsi="Tahoma" w:cs="Tahoma"/>
                <w:snapToGrid/>
                <w:sz w:val="22"/>
                <w:szCs w:val="22"/>
              </w:rPr>
              <w:t xml:space="preserve"> 100 </w:t>
            </w:r>
            <w:proofErr w:type="spellStart"/>
            <w:r w:rsidRPr="00AC39D6">
              <w:rPr>
                <w:rFonts w:ascii="Tahoma" w:hAnsi="Tahoma" w:cs="Tahoma"/>
                <w:snapToGrid/>
                <w:sz w:val="22"/>
                <w:szCs w:val="22"/>
                <w:lang w:bidi="th-TH"/>
              </w:rPr>
              <w:t>คน</w:t>
            </w:r>
            <w:proofErr w:type="spellEnd"/>
            <w:r w:rsidRPr="00AC39D6">
              <w:rPr>
                <w:rFonts w:ascii="Tahoma" w:hAnsi="Tahoma" w:cs="Tahoma"/>
                <w:snapToGrid/>
                <w:sz w:val="22"/>
                <w:szCs w:val="22"/>
              </w:rPr>
              <w:t xml:space="preserve"> </w:t>
            </w:r>
            <w:r w:rsidRPr="00AC39D6">
              <w:rPr>
                <w:rFonts w:ascii="Tahoma" w:hAnsi="Tahoma" w:cs="Tahoma"/>
                <w:snapToGrid/>
                <w:sz w:val="22"/>
                <w:szCs w:val="22"/>
                <w:lang w:bidi="th-TH"/>
              </w:rPr>
              <w:t>สำหรับแต่ละพื้นที่ในอาคารและแต่ละพื้นที่นอกอาคารซึ่งจะสามารถปฏิบัติตามกฎ</w:t>
            </w:r>
            <w:r w:rsidRPr="00AC39D6">
              <w:rPr>
                <w:rFonts w:ascii="Tahoma" w:hAnsi="Tahoma" w:cs="Tahoma"/>
                <w:snapToGrid/>
                <w:sz w:val="22"/>
                <w:szCs w:val="22"/>
              </w:rPr>
              <w:t xml:space="preserve"> 1 </w:t>
            </w:r>
            <w:proofErr w:type="spellStart"/>
            <w:r w:rsidRPr="00AC39D6">
              <w:rPr>
                <w:rFonts w:ascii="Tahoma" w:hAnsi="Tahoma" w:cs="Tahoma"/>
                <w:snapToGrid/>
                <w:sz w:val="22"/>
                <w:szCs w:val="22"/>
                <w:lang w:bidi="th-TH"/>
              </w:rPr>
              <w:t>คนต่อพื้นที่ใช้สอย</w:t>
            </w:r>
            <w:proofErr w:type="spellEnd"/>
            <w:r w:rsidRPr="00AC39D6">
              <w:rPr>
                <w:rFonts w:ascii="Tahoma" w:hAnsi="Tahoma" w:cs="Tahoma"/>
                <w:snapToGrid/>
                <w:sz w:val="22"/>
                <w:szCs w:val="22"/>
              </w:rPr>
              <w:t xml:space="preserve"> 4 </w:t>
            </w:r>
            <w:proofErr w:type="spellStart"/>
            <w:proofErr w:type="gramStart"/>
            <w:r w:rsidRPr="00AC39D6">
              <w:rPr>
                <w:rFonts w:ascii="Tahoma" w:hAnsi="Tahoma" w:cs="Tahoma"/>
                <w:snapToGrid/>
                <w:sz w:val="22"/>
                <w:szCs w:val="22"/>
                <w:lang w:bidi="th-TH"/>
              </w:rPr>
              <w:t>ตารางเมตรได้</w:t>
            </w:r>
            <w:proofErr w:type="spellEnd"/>
            <w:r w:rsidRPr="00AC39D6">
              <w:rPr>
                <w:rFonts w:ascii="Tahoma" w:hAnsi="Tahoma" w:cs="Tahoma"/>
                <w:snapToGrid/>
                <w:sz w:val="22"/>
                <w:szCs w:val="22"/>
              </w:rPr>
              <w:t>  </w:t>
            </w:r>
            <w:proofErr w:type="spellStart"/>
            <w:r w:rsidRPr="00AC39D6">
              <w:rPr>
                <w:rFonts w:ascii="Tahoma" w:hAnsi="Tahoma" w:cs="Tahoma"/>
                <w:snapToGrid/>
                <w:sz w:val="22"/>
                <w:szCs w:val="22"/>
                <w:lang w:bidi="th-TH"/>
              </w:rPr>
              <w:t>ทั้งนี้</w:t>
            </w:r>
            <w:proofErr w:type="spellEnd"/>
            <w:proofErr w:type="gramEnd"/>
            <w:r w:rsidRPr="00AC39D6">
              <w:rPr>
                <w:rFonts w:ascii="Tahoma" w:hAnsi="Tahoma" w:cs="Tahoma"/>
                <w:snapToGrid/>
                <w:sz w:val="22"/>
                <w:szCs w:val="22"/>
              </w:rPr>
              <w:t xml:space="preserve"> </w:t>
            </w:r>
            <w:proofErr w:type="spellStart"/>
            <w:r w:rsidRPr="00AC39D6">
              <w:rPr>
                <w:rFonts w:ascii="Tahoma" w:hAnsi="Tahoma" w:cs="Tahoma"/>
                <w:b/>
                <w:bCs/>
                <w:snapToGrid/>
                <w:sz w:val="22"/>
                <w:szCs w:val="22"/>
                <w:lang w:bidi="th-TH"/>
              </w:rPr>
              <w:t>ไม่นับรวมพนักงานและผู้เข้าร่วมการแข่งขัน</w:t>
            </w:r>
            <w:proofErr w:type="spellEnd"/>
            <w:r w:rsidRPr="00AC39D6">
              <w:rPr>
                <w:rFonts w:ascii="Tahoma" w:hAnsi="Tahoma" w:cs="Tahoma"/>
                <w:b/>
                <w:snapToGrid/>
                <w:sz w:val="22"/>
                <w:szCs w:val="22"/>
              </w:rPr>
              <w:t> </w:t>
            </w:r>
            <w:proofErr w:type="spellStart"/>
            <w:r w:rsidRPr="00AC39D6">
              <w:rPr>
                <w:rFonts w:ascii="Tahoma" w:hAnsi="Tahoma" w:cs="Tahoma"/>
                <w:b/>
                <w:snapToGrid/>
                <w:sz w:val="22"/>
                <w:szCs w:val="22"/>
                <w:lang w:bidi="th-TH"/>
              </w:rPr>
              <w:t>ทั้งนี้</w:t>
            </w:r>
            <w:proofErr w:type="spellEnd"/>
            <w:r w:rsidRPr="00AC39D6">
              <w:rPr>
                <w:rFonts w:ascii="Tahoma" w:hAnsi="Tahoma" w:cs="Tahoma"/>
                <w:b/>
                <w:snapToGrid/>
                <w:sz w:val="22"/>
                <w:szCs w:val="22"/>
              </w:rPr>
              <w:t xml:space="preserve"> </w:t>
            </w:r>
            <w:proofErr w:type="spellStart"/>
            <w:r w:rsidRPr="00AC39D6">
              <w:rPr>
                <w:rFonts w:ascii="Tahoma" w:hAnsi="Tahoma" w:cs="Tahoma"/>
                <w:b/>
                <w:snapToGrid/>
                <w:sz w:val="22"/>
                <w:szCs w:val="22"/>
                <w:lang w:bidi="th-TH"/>
              </w:rPr>
              <w:t>รวมถึงกิจกรรมกีฬาชุมชนที่จัดขึ้นที่สระว่ายน้ำ</w:t>
            </w:r>
            <w:proofErr w:type="spellEnd"/>
            <w:r w:rsidRPr="00AC39D6">
              <w:rPr>
                <w:rFonts w:ascii="Tahoma" w:hAnsi="Tahoma" w:cs="Tahoma"/>
                <w:b/>
                <w:snapToGrid/>
                <w:sz w:val="22"/>
                <w:szCs w:val="22"/>
              </w:rPr>
              <w:t xml:space="preserve"> </w:t>
            </w:r>
            <w:proofErr w:type="spellStart"/>
            <w:r w:rsidRPr="00AC39D6">
              <w:rPr>
                <w:rFonts w:ascii="Tahoma" w:hAnsi="Tahoma" w:cs="Tahoma"/>
                <w:b/>
                <w:snapToGrid/>
                <w:sz w:val="22"/>
                <w:szCs w:val="22"/>
                <w:lang w:bidi="th-TH"/>
              </w:rPr>
              <w:t>เช่น</w:t>
            </w:r>
            <w:proofErr w:type="spellEnd"/>
            <w:r w:rsidRPr="00AC39D6">
              <w:rPr>
                <w:rFonts w:ascii="Tahoma" w:hAnsi="Tahoma" w:cs="Tahoma"/>
                <w:b/>
                <w:snapToGrid/>
                <w:sz w:val="22"/>
                <w:szCs w:val="22"/>
              </w:rPr>
              <w:t xml:space="preserve"> </w:t>
            </w:r>
            <w:proofErr w:type="spellStart"/>
            <w:r w:rsidRPr="00AC39D6">
              <w:rPr>
                <w:rFonts w:ascii="Tahoma" w:hAnsi="Tahoma" w:cs="Tahoma"/>
                <w:b/>
                <w:snapToGrid/>
                <w:sz w:val="22"/>
                <w:szCs w:val="22"/>
                <w:lang w:bidi="th-TH"/>
              </w:rPr>
              <w:t>การแข่งขันประเภทต่าง</w:t>
            </w:r>
            <w:proofErr w:type="spellEnd"/>
            <w:r w:rsidRPr="00AC39D6">
              <w:rPr>
                <w:rFonts w:ascii="Tahoma" w:hAnsi="Tahoma" w:cs="Tahoma"/>
                <w:b/>
                <w:snapToGrid/>
                <w:sz w:val="22"/>
                <w:szCs w:val="22"/>
              </w:rPr>
              <w:t xml:space="preserve"> </w:t>
            </w:r>
            <w:r w:rsidRPr="00AC39D6">
              <w:rPr>
                <w:rFonts w:ascii="Tahoma" w:hAnsi="Tahoma" w:cs="Tahoma"/>
                <w:b/>
                <w:snapToGrid/>
                <w:sz w:val="22"/>
                <w:szCs w:val="22"/>
                <w:lang w:bidi="th-TH"/>
              </w:rPr>
              <w:t>ๆ</w:t>
            </w:r>
            <w:r w:rsidRPr="00AC39D6">
              <w:rPr>
                <w:rFonts w:ascii="Tahoma" w:hAnsi="Tahoma" w:cs="Tahoma"/>
                <w:b/>
                <w:snapToGrid/>
                <w:sz w:val="22"/>
                <w:szCs w:val="22"/>
              </w:rPr>
              <w:t xml:space="preserve"> </w:t>
            </w:r>
            <w:proofErr w:type="spellStart"/>
            <w:r w:rsidRPr="00AC39D6">
              <w:rPr>
                <w:rFonts w:ascii="Tahoma" w:hAnsi="Tahoma" w:cs="Tahoma"/>
                <w:b/>
                <w:snapToGrid/>
                <w:sz w:val="22"/>
                <w:szCs w:val="22"/>
                <w:lang w:bidi="th-TH"/>
              </w:rPr>
              <w:t>หรือการแข่งขันโปโลน้ำ</w:t>
            </w:r>
            <w:proofErr w:type="spellEnd"/>
          </w:p>
        </w:tc>
      </w:tr>
    </w:tbl>
    <w:p w14:paraId="0F30AF4D" w14:textId="5B3A700C" w:rsidR="002A4525" w:rsidRDefault="002A4525" w:rsidP="006C19F5">
      <w:pPr>
        <w:ind w:left="-426"/>
        <w:rPr>
          <w:rFonts w:asciiTheme="minorBidi" w:eastAsia="Arial Unicode MS" w:hAnsiTheme="minorBidi" w:cstheme="minorBidi"/>
        </w:rPr>
      </w:pPr>
    </w:p>
    <w:p w14:paraId="6BE96FF9" w14:textId="757987B5" w:rsidR="006072BA" w:rsidRDefault="006072BA" w:rsidP="006C19F5">
      <w:pPr>
        <w:ind w:left="-426"/>
        <w:rPr>
          <w:rFonts w:asciiTheme="minorBidi" w:eastAsia="Arial Unicode MS" w:hAnsiTheme="minorBidi" w:cstheme="minorBidi"/>
        </w:rPr>
      </w:pPr>
    </w:p>
    <w:p w14:paraId="52582C74" w14:textId="1BAE482B" w:rsidR="006072BA" w:rsidRDefault="006072BA" w:rsidP="006C19F5">
      <w:pPr>
        <w:ind w:left="-426"/>
        <w:rPr>
          <w:rFonts w:asciiTheme="minorBidi" w:eastAsia="Arial Unicode MS" w:hAnsiTheme="minorBidi" w:cstheme="minorBidi"/>
        </w:rPr>
      </w:pPr>
    </w:p>
    <w:p w14:paraId="08134DED" w14:textId="67A12854" w:rsidR="006072BA" w:rsidRDefault="006072BA" w:rsidP="006C19F5">
      <w:pPr>
        <w:ind w:left="-426"/>
        <w:rPr>
          <w:rFonts w:asciiTheme="minorBidi" w:eastAsia="Arial Unicode MS" w:hAnsiTheme="minorBidi" w:cstheme="minorBidi"/>
        </w:rPr>
      </w:pPr>
    </w:p>
    <w:p w14:paraId="2C95174D" w14:textId="6EABB751" w:rsidR="006072BA" w:rsidRDefault="006072BA" w:rsidP="006C19F5">
      <w:pPr>
        <w:ind w:left="-426"/>
        <w:rPr>
          <w:rFonts w:asciiTheme="minorBidi" w:eastAsia="Arial Unicode MS" w:hAnsiTheme="minorBidi" w:cstheme="minorBidi"/>
        </w:rPr>
      </w:pPr>
    </w:p>
    <w:p w14:paraId="4CA4902B" w14:textId="603B9145" w:rsidR="006072BA" w:rsidRDefault="006072BA"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E30FD" w:rsidRPr="006072BA" w14:paraId="3C945E67" w14:textId="77777777" w:rsidTr="00491279">
        <w:trPr>
          <w:trHeight w:val="595"/>
        </w:trPr>
        <w:tc>
          <w:tcPr>
            <w:tcW w:w="7343" w:type="dxa"/>
            <w:shd w:val="clear" w:color="auto" w:fill="auto"/>
            <w:vAlign w:val="center"/>
          </w:tcPr>
          <w:p w14:paraId="1E08ACB7" w14:textId="77777777" w:rsidR="00FE30FD" w:rsidRPr="006072BA" w:rsidRDefault="00FE30FD" w:rsidP="00FE30FD">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lastRenderedPageBreak/>
              <w:t>In addition, the following will apply:</w:t>
            </w:r>
          </w:p>
        </w:tc>
        <w:tc>
          <w:tcPr>
            <w:tcW w:w="7655" w:type="dxa"/>
            <w:shd w:val="clear" w:color="auto" w:fill="auto"/>
            <w:vAlign w:val="center"/>
          </w:tcPr>
          <w:p w14:paraId="4DD6980F" w14:textId="4824FE57" w:rsidR="00FE30FD" w:rsidRPr="0037286E" w:rsidRDefault="00FE30FD" w:rsidP="00FE30FD">
            <w:pPr>
              <w:rPr>
                <w:rFonts w:ascii="Tahoma" w:eastAsia="Arial Unicode MS" w:hAnsi="Tahoma" w:cs="Tahoma"/>
                <w:b/>
                <w:bCs/>
                <w:sz w:val="22"/>
                <w:szCs w:val="22"/>
              </w:rPr>
            </w:pPr>
            <w:proofErr w:type="spellStart"/>
            <w:r w:rsidRPr="0037286E">
              <w:rPr>
                <w:rFonts w:ascii="Tahoma" w:hAnsi="Tahoma" w:cs="Tahoma"/>
                <w:b/>
                <w:bCs/>
                <w:snapToGrid/>
                <w:sz w:val="22"/>
                <w:szCs w:val="22"/>
                <w:lang w:bidi="th-TH"/>
              </w:rPr>
              <w:t>นอกเหนือจากนี้</w:t>
            </w:r>
            <w:proofErr w:type="spellEnd"/>
            <w:r w:rsidRPr="0037286E">
              <w:rPr>
                <w:rFonts w:ascii="Tahoma" w:hAnsi="Tahoma" w:cs="Tahoma"/>
                <w:b/>
                <w:bCs/>
                <w:snapToGrid/>
                <w:sz w:val="22"/>
                <w:szCs w:val="22"/>
                <w:lang w:bidi="th-TH"/>
              </w:rPr>
              <w:t xml:space="preserve"> </w:t>
            </w:r>
            <w:proofErr w:type="spellStart"/>
            <w:r w:rsidRPr="0037286E">
              <w:rPr>
                <w:rFonts w:ascii="Tahoma" w:hAnsi="Tahoma" w:cs="Tahoma"/>
                <w:b/>
                <w:bCs/>
                <w:snapToGrid/>
                <w:sz w:val="22"/>
                <w:szCs w:val="22"/>
                <w:lang w:bidi="th-TH"/>
              </w:rPr>
              <w:t>จะมีการบังคับใช้ในเรื่อง</w:t>
            </w:r>
            <w:proofErr w:type="spellEnd"/>
            <w:r w:rsidR="0037286E" w:rsidRPr="0037286E">
              <w:rPr>
                <w:rFonts w:ascii="Tahoma" w:hAnsi="Tahoma" w:cs="Tahoma" w:hint="cs"/>
                <w:b/>
                <w:bCs/>
                <w:snapToGrid/>
                <w:sz w:val="22"/>
                <w:szCs w:val="22"/>
                <w:cs/>
                <w:lang w:bidi="th-TH"/>
              </w:rPr>
              <w:t>ดัง</w:t>
            </w:r>
            <w:proofErr w:type="spellStart"/>
            <w:r w:rsidRPr="0037286E">
              <w:rPr>
                <w:rFonts w:ascii="Tahoma" w:hAnsi="Tahoma" w:cs="Tahoma"/>
                <w:b/>
                <w:bCs/>
                <w:snapToGrid/>
                <w:sz w:val="22"/>
                <w:szCs w:val="22"/>
                <w:lang w:bidi="th-TH"/>
              </w:rPr>
              <w:t>ต่อไปนี้</w:t>
            </w:r>
            <w:proofErr w:type="spellEnd"/>
          </w:p>
        </w:tc>
      </w:tr>
      <w:tr w:rsidR="00FE30FD" w:rsidRPr="006072BA" w14:paraId="1DBD7588" w14:textId="77777777" w:rsidTr="004E11E0">
        <w:trPr>
          <w:trHeight w:val="1522"/>
        </w:trPr>
        <w:tc>
          <w:tcPr>
            <w:tcW w:w="7343" w:type="dxa"/>
            <w:shd w:val="clear" w:color="auto" w:fill="auto"/>
            <w:vAlign w:val="center"/>
          </w:tcPr>
          <w:p w14:paraId="22F65EED" w14:textId="77777777" w:rsidR="00FE30FD" w:rsidRPr="006072BA" w:rsidRDefault="00FE30FD" w:rsidP="00FE30FD">
            <w:pPr>
              <w:numPr>
                <w:ilvl w:val="0"/>
                <w:numId w:val="29"/>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Usable space is defined in the Public Health Direction as the space that people can freely move around in, but not including the following areas:</w:t>
            </w:r>
          </w:p>
        </w:tc>
        <w:tc>
          <w:tcPr>
            <w:tcW w:w="7655" w:type="dxa"/>
            <w:shd w:val="clear" w:color="auto" w:fill="auto"/>
            <w:vAlign w:val="center"/>
          </w:tcPr>
          <w:p w14:paraId="60A464D7" w14:textId="483A4688" w:rsidR="00FE30FD" w:rsidRPr="00712F64" w:rsidRDefault="00FE30FD" w:rsidP="00712F64">
            <w:pPr>
              <w:pStyle w:val="ListParagraph"/>
              <w:numPr>
                <w:ilvl w:val="0"/>
                <w:numId w:val="32"/>
              </w:numPr>
              <w:autoSpaceDE w:val="0"/>
              <w:autoSpaceDN w:val="0"/>
              <w:adjustRightInd w:val="0"/>
              <w:ind w:left="741"/>
              <w:rPr>
                <w:rFonts w:ascii="Tahoma" w:eastAsia="Arial Unicode MS" w:hAnsi="Tahoma" w:cs="Tahoma"/>
                <w:b/>
                <w:bCs/>
                <w:sz w:val="22"/>
                <w:szCs w:val="22"/>
              </w:rPr>
            </w:pPr>
            <w:proofErr w:type="spellStart"/>
            <w:r w:rsidRPr="00712F64">
              <w:rPr>
                <w:rFonts w:ascii="Tahoma" w:hAnsi="Tahoma" w:cs="Tahoma"/>
                <w:b/>
                <w:bCs/>
                <w:snapToGrid/>
                <w:sz w:val="22"/>
                <w:szCs w:val="22"/>
                <w:lang w:bidi="th-TH"/>
              </w:rPr>
              <w:t>พื้นที่ใช้สอยที่กำหนดอยู่ในแนวทางด้านสาธารณสุข</w:t>
            </w:r>
            <w:proofErr w:type="spellEnd"/>
            <w:r w:rsidRPr="00712F64">
              <w:rPr>
                <w:rFonts w:ascii="Tahoma" w:hAnsi="Tahoma" w:cs="Tahoma"/>
                <w:b/>
                <w:bCs/>
                <w:snapToGrid/>
                <w:sz w:val="22"/>
                <w:szCs w:val="22"/>
              </w:rPr>
              <w:t xml:space="preserve"> (Public Health Direction) </w:t>
            </w:r>
            <w:proofErr w:type="spellStart"/>
            <w:r w:rsidRPr="00712F64">
              <w:rPr>
                <w:rFonts w:ascii="Tahoma" w:hAnsi="Tahoma" w:cs="Tahoma"/>
                <w:b/>
                <w:bCs/>
                <w:snapToGrid/>
                <w:sz w:val="22"/>
                <w:szCs w:val="22"/>
                <w:lang w:bidi="th-TH"/>
              </w:rPr>
              <w:t>เป็นพื้นที่ที่ผู้คนสามารถเคลื่อนที่ไปมารอบ</w:t>
            </w:r>
            <w:proofErr w:type="spellEnd"/>
            <w:r w:rsidRPr="00712F64">
              <w:rPr>
                <w:rFonts w:ascii="Tahoma" w:hAnsi="Tahoma" w:cs="Tahoma"/>
                <w:b/>
                <w:bCs/>
                <w:snapToGrid/>
                <w:sz w:val="22"/>
                <w:szCs w:val="22"/>
              </w:rPr>
              <w:t xml:space="preserve"> </w:t>
            </w:r>
            <w:r w:rsidRPr="00712F64">
              <w:rPr>
                <w:rFonts w:ascii="Tahoma" w:hAnsi="Tahoma" w:cs="Tahoma"/>
                <w:b/>
                <w:bCs/>
                <w:snapToGrid/>
                <w:sz w:val="22"/>
                <w:szCs w:val="22"/>
                <w:lang w:bidi="th-TH"/>
              </w:rPr>
              <w:t>ๆ</w:t>
            </w:r>
            <w:r w:rsidRPr="00712F64">
              <w:rPr>
                <w:rFonts w:ascii="Tahoma" w:hAnsi="Tahoma" w:cs="Tahoma"/>
                <w:b/>
                <w:bCs/>
                <w:snapToGrid/>
                <w:sz w:val="22"/>
                <w:szCs w:val="22"/>
              </w:rPr>
              <w:t xml:space="preserve"> </w:t>
            </w:r>
            <w:proofErr w:type="spellStart"/>
            <w:r w:rsidRPr="00712F64">
              <w:rPr>
                <w:rFonts w:ascii="Tahoma" w:hAnsi="Tahoma" w:cs="Tahoma"/>
                <w:b/>
                <w:bCs/>
                <w:snapToGrid/>
                <w:sz w:val="22"/>
                <w:szCs w:val="22"/>
                <w:lang w:bidi="th-TH"/>
              </w:rPr>
              <w:t>ภายในพื้นที่ได้</w:t>
            </w:r>
            <w:proofErr w:type="spellEnd"/>
            <w:r w:rsidRPr="00712F64">
              <w:rPr>
                <w:rFonts w:ascii="Tahoma" w:hAnsi="Tahoma" w:cs="Tahoma"/>
                <w:b/>
                <w:bCs/>
                <w:snapToGrid/>
                <w:sz w:val="22"/>
                <w:szCs w:val="22"/>
              </w:rPr>
              <w:t xml:space="preserve"> </w:t>
            </w:r>
            <w:proofErr w:type="spellStart"/>
            <w:r w:rsidRPr="00712F64">
              <w:rPr>
                <w:rFonts w:ascii="Tahoma" w:hAnsi="Tahoma" w:cs="Tahoma"/>
                <w:b/>
                <w:bCs/>
                <w:snapToGrid/>
                <w:sz w:val="22"/>
                <w:szCs w:val="22"/>
                <w:lang w:bidi="th-TH"/>
              </w:rPr>
              <w:t>แต่ไม่รวมพื้นที่ดังต่อไปนี้</w:t>
            </w:r>
            <w:proofErr w:type="spellEnd"/>
          </w:p>
        </w:tc>
      </w:tr>
      <w:tr w:rsidR="00FE30FD" w:rsidRPr="006072BA" w14:paraId="24B7C31B" w14:textId="77777777" w:rsidTr="004E11E0">
        <w:trPr>
          <w:trHeight w:val="2110"/>
        </w:trPr>
        <w:tc>
          <w:tcPr>
            <w:tcW w:w="7343" w:type="dxa"/>
            <w:shd w:val="clear" w:color="auto" w:fill="auto"/>
            <w:vAlign w:val="center"/>
          </w:tcPr>
          <w:p w14:paraId="545EA69D" w14:textId="77777777" w:rsidR="00FE30FD" w:rsidRPr="006072BA" w:rsidRDefault="00FE30FD" w:rsidP="00FE30FD">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stages and similar areas,</w:t>
            </w:r>
          </w:p>
          <w:p w14:paraId="4E2AC979" w14:textId="77777777" w:rsidR="00FE30FD" w:rsidRPr="006072BA" w:rsidRDefault="00FE30FD" w:rsidP="00FE30FD">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restrooms, changerooms and similar areas,</w:t>
            </w:r>
          </w:p>
          <w:p w14:paraId="5A800B23" w14:textId="77777777" w:rsidR="00FE30FD" w:rsidRPr="006072BA" w:rsidRDefault="00FE30FD" w:rsidP="00FE30FD">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areas occupied by fixtures, fittings, and displays, and</w:t>
            </w:r>
          </w:p>
          <w:p w14:paraId="04A8A2D6" w14:textId="355E021D" w:rsidR="00FE30FD" w:rsidRPr="006072BA" w:rsidRDefault="00FE30FD" w:rsidP="00FE30FD">
            <w:pPr>
              <w:pStyle w:val="ListParagraph"/>
              <w:numPr>
                <w:ilvl w:val="0"/>
                <w:numId w:val="32"/>
              </w:numPr>
              <w:autoSpaceDE w:val="0"/>
              <w:autoSpaceDN w:val="0"/>
              <w:adjustRightInd w:val="0"/>
              <w:ind w:left="741"/>
              <w:rPr>
                <w:rFonts w:asciiTheme="minorBidi" w:eastAsia="SimSun" w:hAnsiTheme="minorBidi" w:cstheme="minorBidi"/>
                <w:b/>
                <w:bCs/>
                <w:snapToGrid/>
                <w:lang w:eastAsia="en-AU"/>
              </w:rPr>
            </w:pPr>
            <w:r w:rsidRPr="006072BA">
              <w:rPr>
                <w:rFonts w:asciiTheme="minorBidi" w:eastAsia="SimSun" w:hAnsiTheme="minorBidi" w:cstheme="minorBidi"/>
                <w:snapToGrid/>
                <w:lang w:eastAsia="en-AU"/>
              </w:rPr>
              <w:t>staff only areas and areas that are closed off or not being used.</w:t>
            </w:r>
          </w:p>
        </w:tc>
        <w:tc>
          <w:tcPr>
            <w:tcW w:w="7655" w:type="dxa"/>
            <w:shd w:val="clear" w:color="auto" w:fill="auto"/>
            <w:vAlign w:val="center"/>
          </w:tcPr>
          <w:p w14:paraId="7DE69301" w14:textId="4D6D4665" w:rsidR="00FE30FD" w:rsidRPr="00C6625C" w:rsidRDefault="00FE30FD" w:rsidP="00FE30FD">
            <w:pPr>
              <w:pStyle w:val="ListParagraph"/>
              <w:numPr>
                <w:ilvl w:val="0"/>
                <w:numId w:val="32"/>
              </w:numPr>
              <w:autoSpaceDE w:val="0"/>
              <w:autoSpaceDN w:val="0"/>
              <w:adjustRightInd w:val="0"/>
              <w:ind w:left="741"/>
              <w:rPr>
                <w:rFonts w:ascii="Tahoma" w:hAnsi="Tahoma" w:cs="Tahoma"/>
                <w:snapToGrid/>
                <w:sz w:val="22"/>
                <w:szCs w:val="22"/>
              </w:rPr>
            </w:pPr>
            <w:proofErr w:type="spellStart"/>
            <w:r w:rsidRPr="002237FF">
              <w:rPr>
                <w:rFonts w:ascii="Tahoma" w:hAnsi="Tahoma" w:cs="Tahoma"/>
                <w:snapToGrid/>
                <w:sz w:val="22"/>
                <w:szCs w:val="22"/>
                <w:lang w:bidi="th-TH"/>
              </w:rPr>
              <w:t>เวทีการแสดงและพื้นที่ที่คล้ายค</w:t>
            </w:r>
            <w:proofErr w:type="spellEnd"/>
            <w:r w:rsidR="00690C3F">
              <w:rPr>
                <w:rFonts w:ascii="Tahoma" w:hAnsi="Tahoma" w:cs="Tahoma" w:hint="cs"/>
                <w:snapToGrid/>
                <w:sz w:val="22"/>
                <w:szCs w:val="22"/>
                <w:cs/>
                <w:lang w:bidi="th-TH"/>
              </w:rPr>
              <w:t>ลึ</w:t>
            </w:r>
            <w:proofErr w:type="spellStart"/>
            <w:r w:rsidRPr="002237FF">
              <w:rPr>
                <w:rFonts w:ascii="Tahoma" w:hAnsi="Tahoma" w:cs="Tahoma"/>
                <w:snapToGrid/>
                <w:sz w:val="22"/>
                <w:szCs w:val="22"/>
                <w:lang w:bidi="th-TH"/>
              </w:rPr>
              <w:t>งกัน</w:t>
            </w:r>
            <w:proofErr w:type="spellEnd"/>
          </w:p>
          <w:p w14:paraId="11A28D58" w14:textId="06E38F26" w:rsidR="00FE30FD" w:rsidRPr="00C6625C" w:rsidRDefault="00FE30FD" w:rsidP="00FE30FD">
            <w:pPr>
              <w:pStyle w:val="ListParagraph"/>
              <w:numPr>
                <w:ilvl w:val="0"/>
                <w:numId w:val="32"/>
              </w:numPr>
              <w:autoSpaceDE w:val="0"/>
              <w:autoSpaceDN w:val="0"/>
              <w:adjustRightInd w:val="0"/>
              <w:ind w:left="741"/>
              <w:rPr>
                <w:rFonts w:ascii="Tahoma" w:hAnsi="Tahoma" w:cs="Tahoma"/>
                <w:snapToGrid/>
                <w:sz w:val="22"/>
                <w:szCs w:val="22"/>
              </w:rPr>
            </w:pPr>
            <w:proofErr w:type="spellStart"/>
            <w:r w:rsidRPr="002237FF">
              <w:rPr>
                <w:rFonts w:ascii="Tahoma" w:hAnsi="Tahoma" w:cs="Tahoma"/>
                <w:snapToGrid/>
                <w:sz w:val="22"/>
                <w:szCs w:val="22"/>
                <w:lang w:bidi="th-TH"/>
              </w:rPr>
              <w:t>ห้องน้ำ</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ห้องเปลี่ยนเสื้อผ้า</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และพื้นที่ที่คล้ายค</w:t>
            </w:r>
            <w:proofErr w:type="spellEnd"/>
            <w:r w:rsidR="00690C3F">
              <w:rPr>
                <w:rFonts w:ascii="Tahoma" w:hAnsi="Tahoma" w:cs="Tahoma" w:hint="cs"/>
                <w:snapToGrid/>
                <w:sz w:val="22"/>
                <w:szCs w:val="22"/>
                <w:cs/>
                <w:lang w:bidi="th-TH"/>
              </w:rPr>
              <w:t>ลึ</w:t>
            </w:r>
            <w:proofErr w:type="spellStart"/>
            <w:r w:rsidRPr="002237FF">
              <w:rPr>
                <w:rFonts w:ascii="Tahoma" w:hAnsi="Tahoma" w:cs="Tahoma"/>
                <w:snapToGrid/>
                <w:sz w:val="22"/>
                <w:szCs w:val="22"/>
                <w:lang w:bidi="th-TH"/>
              </w:rPr>
              <w:t>งกัน</w:t>
            </w:r>
            <w:proofErr w:type="spellEnd"/>
          </w:p>
          <w:p w14:paraId="3AE9D189" w14:textId="77777777" w:rsidR="00712F64" w:rsidRPr="00C6625C" w:rsidRDefault="00FE30FD" w:rsidP="00712F64">
            <w:pPr>
              <w:pStyle w:val="ListParagraph"/>
              <w:numPr>
                <w:ilvl w:val="0"/>
                <w:numId w:val="32"/>
              </w:numPr>
              <w:autoSpaceDE w:val="0"/>
              <w:autoSpaceDN w:val="0"/>
              <w:adjustRightInd w:val="0"/>
              <w:ind w:left="741"/>
              <w:rPr>
                <w:rFonts w:ascii="Tahoma" w:hAnsi="Tahoma" w:cs="Tahoma"/>
                <w:snapToGrid/>
                <w:sz w:val="22"/>
                <w:szCs w:val="22"/>
              </w:rPr>
            </w:pPr>
            <w:proofErr w:type="spellStart"/>
            <w:r w:rsidRPr="002237FF">
              <w:rPr>
                <w:rFonts w:ascii="Tahoma" w:hAnsi="Tahoma" w:cs="Tahoma"/>
                <w:snapToGrid/>
                <w:sz w:val="22"/>
                <w:szCs w:val="22"/>
                <w:lang w:bidi="th-TH"/>
              </w:rPr>
              <w:t>พื้นที่ที่มีอุปกรณ์ติดตั้งถาวร</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อุปกรณ์เสริม</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และการจัดแสดงในรูปแบบต่าง</w:t>
            </w:r>
            <w:proofErr w:type="spellEnd"/>
            <w:r w:rsidRPr="002237FF">
              <w:rPr>
                <w:rFonts w:ascii="Tahoma" w:hAnsi="Tahoma" w:cs="Tahoma"/>
                <w:snapToGrid/>
                <w:sz w:val="22"/>
                <w:szCs w:val="22"/>
              </w:rPr>
              <w:t xml:space="preserve"> </w:t>
            </w:r>
            <w:r w:rsidRPr="002237FF">
              <w:rPr>
                <w:rFonts w:ascii="Tahoma" w:hAnsi="Tahoma" w:cs="Tahoma"/>
                <w:snapToGrid/>
                <w:sz w:val="22"/>
                <w:szCs w:val="22"/>
                <w:lang w:bidi="th-TH"/>
              </w:rPr>
              <w:t>ๆ</w:t>
            </w:r>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และ</w:t>
            </w:r>
            <w:proofErr w:type="spellEnd"/>
          </w:p>
          <w:p w14:paraId="547B995F" w14:textId="1F9F3CBD" w:rsidR="00FE30FD" w:rsidRPr="002237FF" w:rsidRDefault="00FE30FD" w:rsidP="00712F64">
            <w:pPr>
              <w:pStyle w:val="ListParagraph"/>
              <w:numPr>
                <w:ilvl w:val="0"/>
                <w:numId w:val="32"/>
              </w:numPr>
              <w:autoSpaceDE w:val="0"/>
              <w:autoSpaceDN w:val="0"/>
              <w:adjustRightInd w:val="0"/>
              <w:ind w:left="741"/>
              <w:rPr>
                <w:rFonts w:ascii="Tahoma" w:eastAsia="Arial Unicode MS" w:hAnsi="Tahoma" w:cs="Tahoma"/>
                <w:sz w:val="22"/>
                <w:szCs w:val="22"/>
              </w:rPr>
            </w:pPr>
            <w:proofErr w:type="spellStart"/>
            <w:r w:rsidRPr="002237FF">
              <w:rPr>
                <w:rFonts w:ascii="Tahoma" w:hAnsi="Tahoma" w:cs="Tahoma"/>
                <w:snapToGrid/>
                <w:sz w:val="22"/>
                <w:szCs w:val="22"/>
                <w:lang w:bidi="th-TH"/>
              </w:rPr>
              <w:t>พื้นที่สำหรับพนักงานเท่านั้น</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และพื้นที่ซึ่งห้ามเข้าหรือไม่ได้เปิดใช้งาน</w:t>
            </w:r>
            <w:proofErr w:type="spellEnd"/>
          </w:p>
        </w:tc>
      </w:tr>
      <w:tr w:rsidR="00FE30FD" w:rsidRPr="006072BA" w14:paraId="6EFC7380" w14:textId="77777777" w:rsidTr="004E11E0">
        <w:trPr>
          <w:trHeight w:val="4799"/>
        </w:trPr>
        <w:tc>
          <w:tcPr>
            <w:tcW w:w="7343" w:type="dxa"/>
            <w:shd w:val="clear" w:color="auto" w:fill="auto"/>
            <w:vAlign w:val="center"/>
          </w:tcPr>
          <w:p w14:paraId="3A269FFC" w14:textId="77777777" w:rsidR="00FE30FD" w:rsidRPr="006072BA" w:rsidRDefault="00FE30FD" w:rsidP="00FE30FD">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All venues, facilities and businesses must continue to clearly display occupancy allowance at entrance to each venue or space.</w:t>
            </w:r>
          </w:p>
          <w:p w14:paraId="76D44D5A" w14:textId="77777777" w:rsidR="00FE30FD" w:rsidRPr="006072BA" w:rsidRDefault="00FE30FD" w:rsidP="00FE30FD">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 xml:space="preserve">Bar, pubs and clubs </w:t>
            </w:r>
            <w:proofErr w:type="gramStart"/>
            <w:r w:rsidRPr="006072BA">
              <w:rPr>
                <w:rFonts w:asciiTheme="minorBidi" w:eastAsia="SimSun" w:hAnsiTheme="minorBidi" w:cstheme="minorBidi"/>
                <w:snapToGrid/>
                <w:lang w:eastAsia="en-AU"/>
              </w:rPr>
              <w:t>are able to</w:t>
            </w:r>
            <w:proofErr w:type="gramEnd"/>
            <w:r w:rsidRPr="006072BA">
              <w:rPr>
                <w:rFonts w:asciiTheme="minorBidi" w:eastAsia="SimSun" w:hAnsiTheme="minorBidi" w:cstheme="minorBidi"/>
                <w:snapToGrid/>
                <w:lang w:eastAsia="en-AU"/>
              </w:rPr>
              <w:t xml:space="preserve"> continue to serve alcohol to seated patrons, with no limit on the size of group bookings.</w:t>
            </w:r>
          </w:p>
          <w:p w14:paraId="49A8687C" w14:textId="77777777" w:rsidR="00FE30FD" w:rsidRPr="006072BA" w:rsidRDefault="00FE30FD" w:rsidP="00FE30FD">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When gyms, health clubs and fitness facilities are unstaffed, a maximum of 25 patrons continue to be permitted to be in the venue at any one time.</w:t>
            </w:r>
          </w:p>
          <w:p w14:paraId="5CBD4160" w14:textId="77777777" w:rsidR="00FE30FD" w:rsidRPr="006072BA" w:rsidRDefault="00FE30FD" w:rsidP="00FE30FD">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Food courts (dine-in) remain open.</w:t>
            </w:r>
          </w:p>
          <w:p w14:paraId="6381E207" w14:textId="77777777" w:rsidR="00FE30FD" w:rsidRPr="006072BA" w:rsidRDefault="00FE30FD" w:rsidP="00FE30FD">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Casinos and gaming in clubs remain open.</w:t>
            </w:r>
          </w:p>
          <w:p w14:paraId="08C924CD" w14:textId="77777777" w:rsidR="00FE30FD" w:rsidRPr="006072BA" w:rsidRDefault="00FE30FD" w:rsidP="00FE30FD">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Steam-based services including saunas, steam rooms, steam cabinets and bathhouses remain open.</w:t>
            </w:r>
          </w:p>
          <w:p w14:paraId="0852ABB1" w14:textId="32F0E37B" w:rsidR="00FE30FD" w:rsidRPr="006072BA" w:rsidRDefault="00FE30FD" w:rsidP="00FE30FD">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Strip clubs, brothels, escort agencies remain open.</w:t>
            </w:r>
          </w:p>
        </w:tc>
        <w:tc>
          <w:tcPr>
            <w:tcW w:w="7655" w:type="dxa"/>
            <w:shd w:val="clear" w:color="auto" w:fill="auto"/>
            <w:vAlign w:val="center"/>
          </w:tcPr>
          <w:p w14:paraId="1D9156D4" w14:textId="77777777" w:rsidR="00FE30FD" w:rsidRPr="002237FF" w:rsidRDefault="00FE30FD" w:rsidP="00FE30FD">
            <w:pPr>
              <w:numPr>
                <w:ilvl w:val="0"/>
                <w:numId w:val="32"/>
              </w:numPr>
              <w:autoSpaceDE w:val="0"/>
              <w:autoSpaceDN w:val="0"/>
              <w:adjustRightInd w:val="0"/>
              <w:ind w:left="741"/>
              <w:rPr>
                <w:rFonts w:ascii="Tahoma" w:eastAsia="SimSun" w:hAnsi="Tahoma" w:cs="Tahoma"/>
                <w:snapToGrid/>
                <w:sz w:val="22"/>
                <w:szCs w:val="22"/>
              </w:rPr>
            </w:pPr>
            <w:proofErr w:type="spellStart"/>
            <w:r w:rsidRPr="002237FF">
              <w:rPr>
                <w:rFonts w:ascii="Tahoma" w:hAnsi="Tahoma" w:cs="Tahoma"/>
                <w:snapToGrid/>
                <w:sz w:val="22"/>
                <w:szCs w:val="22"/>
                <w:lang w:bidi="th-TH"/>
              </w:rPr>
              <w:t>สถานประกอบการ</w:t>
            </w:r>
            <w:proofErr w:type="spellEnd"/>
            <w:r w:rsidRPr="002237FF">
              <w:rPr>
                <w:rFonts w:ascii="Tahoma" w:hAnsi="Tahoma" w:cs="Tahoma"/>
                <w:snapToGrid/>
                <w:sz w:val="22"/>
                <w:szCs w:val="22"/>
              </w:rPr>
              <w:t xml:space="preserve"> </w:t>
            </w:r>
            <w:r w:rsidRPr="002237FF">
              <w:rPr>
                <w:rFonts w:ascii="Tahoma" w:hAnsi="Tahoma" w:cs="Tahoma"/>
                <w:snapToGrid/>
                <w:sz w:val="22"/>
                <w:szCs w:val="22"/>
                <w:lang w:bidi="th-TH"/>
              </w:rPr>
              <w:t>สถานอำนวยความสะดวกและธุรกิจทั้งหมดจะต้องจัดแสดงวิธีที่อนุญาตให้เข้าใช้สถานที่อย่างชัดเจนที่ทางเข้าของสถานประกอบการหรือพื้นที่แต่ละแห่ง</w:t>
            </w:r>
          </w:p>
          <w:p w14:paraId="6BBCB2F8" w14:textId="77777777" w:rsidR="00FE30FD" w:rsidRPr="002237FF" w:rsidRDefault="00FE30FD" w:rsidP="00FE30FD">
            <w:pPr>
              <w:numPr>
                <w:ilvl w:val="0"/>
                <w:numId w:val="32"/>
              </w:numPr>
              <w:autoSpaceDE w:val="0"/>
              <w:autoSpaceDN w:val="0"/>
              <w:adjustRightInd w:val="0"/>
              <w:ind w:left="741"/>
              <w:rPr>
                <w:rFonts w:ascii="Tahoma" w:eastAsia="SimSun" w:hAnsi="Tahoma" w:cs="Tahoma"/>
                <w:snapToGrid/>
                <w:sz w:val="22"/>
                <w:szCs w:val="22"/>
              </w:rPr>
            </w:pPr>
            <w:proofErr w:type="spellStart"/>
            <w:r w:rsidRPr="002237FF">
              <w:rPr>
                <w:rFonts w:ascii="Tahoma" w:hAnsi="Tahoma" w:cs="Tahoma"/>
                <w:snapToGrid/>
                <w:sz w:val="22"/>
                <w:szCs w:val="22"/>
                <w:lang w:bidi="th-TH"/>
              </w:rPr>
              <w:t>บาร์</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ผับ</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และคลับ</w:t>
            </w:r>
            <w:proofErr w:type="spellEnd"/>
            <w:r w:rsidRPr="002237FF">
              <w:rPr>
                <w:rFonts w:ascii="Tahoma" w:hAnsi="Tahoma" w:cs="Tahoma"/>
                <w:snapToGrid/>
                <w:sz w:val="22"/>
                <w:szCs w:val="22"/>
              </w:rPr>
              <w:t xml:space="preserve"> </w:t>
            </w:r>
            <w:r w:rsidRPr="002237FF">
              <w:rPr>
                <w:rFonts w:ascii="Tahoma" w:hAnsi="Tahoma" w:cs="Tahoma"/>
                <w:snapToGrid/>
                <w:sz w:val="22"/>
                <w:szCs w:val="22"/>
                <w:lang w:bidi="th-TH"/>
              </w:rPr>
              <w:t>ยังคงสามารถให้บริการเครื่องดื่มแอลกอฮอล์กับลูกค้าที่มานั่งดื่มได้โดยไม่จำกัดขนาดของการจองแบบกลุ่ม</w:t>
            </w:r>
          </w:p>
          <w:p w14:paraId="412AB786" w14:textId="77777777" w:rsidR="00FE30FD" w:rsidRPr="002237FF" w:rsidRDefault="00FE30FD" w:rsidP="00FE30FD">
            <w:pPr>
              <w:numPr>
                <w:ilvl w:val="0"/>
                <w:numId w:val="32"/>
              </w:numPr>
              <w:autoSpaceDE w:val="0"/>
              <w:autoSpaceDN w:val="0"/>
              <w:adjustRightInd w:val="0"/>
              <w:ind w:left="741"/>
              <w:rPr>
                <w:rFonts w:ascii="Tahoma" w:eastAsia="SimSun" w:hAnsi="Tahoma" w:cs="Tahoma"/>
                <w:snapToGrid/>
                <w:sz w:val="22"/>
                <w:szCs w:val="22"/>
              </w:rPr>
            </w:pPr>
            <w:proofErr w:type="spellStart"/>
            <w:r w:rsidRPr="002237FF">
              <w:rPr>
                <w:rFonts w:ascii="Tahoma" w:hAnsi="Tahoma" w:cs="Tahoma"/>
                <w:snapToGrid/>
                <w:sz w:val="22"/>
                <w:szCs w:val="22"/>
                <w:lang w:bidi="th-TH"/>
              </w:rPr>
              <w:t>ในเวลาที่โรงยิม</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ศูนย์สุขภาพ</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และสถานฟิตเนสไม่มีพนักงานควบคุมดูแล</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ยังคงอนุญาตให้มีผู้เข้าสถานประกอบการได้ไม่เกินครั้งละ</w:t>
            </w:r>
            <w:proofErr w:type="spellEnd"/>
            <w:r w:rsidRPr="002237FF">
              <w:rPr>
                <w:rFonts w:ascii="Tahoma" w:hAnsi="Tahoma" w:cs="Tahoma"/>
                <w:snapToGrid/>
                <w:sz w:val="22"/>
                <w:szCs w:val="22"/>
              </w:rPr>
              <w:t xml:space="preserve"> 25 </w:t>
            </w:r>
            <w:proofErr w:type="spellStart"/>
            <w:r w:rsidRPr="002237FF">
              <w:rPr>
                <w:rFonts w:ascii="Tahoma" w:hAnsi="Tahoma" w:cs="Tahoma"/>
                <w:snapToGrid/>
                <w:sz w:val="22"/>
                <w:szCs w:val="22"/>
                <w:lang w:bidi="th-TH"/>
              </w:rPr>
              <w:t>คน</w:t>
            </w:r>
            <w:proofErr w:type="spellEnd"/>
          </w:p>
          <w:p w14:paraId="1ECF6B05" w14:textId="77777777" w:rsidR="00FE30FD" w:rsidRPr="002237FF" w:rsidRDefault="00FE30FD" w:rsidP="00FE30FD">
            <w:pPr>
              <w:numPr>
                <w:ilvl w:val="0"/>
                <w:numId w:val="32"/>
              </w:numPr>
              <w:autoSpaceDE w:val="0"/>
              <w:autoSpaceDN w:val="0"/>
              <w:adjustRightInd w:val="0"/>
              <w:ind w:left="741"/>
              <w:rPr>
                <w:rFonts w:ascii="Tahoma" w:eastAsia="SimSun" w:hAnsi="Tahoma" w:cs="Tahoma"/>
                <w:snapToGrid/>
                <w:sz w:val="22"/>
                <w:szCs w:val="22"/>
              </w:rPr>
            </w:pPr>
            <w:proofErr w:type="spellStart"/>
            <w:r w:rsidRPr="002237FF">
              <w:rPr>
                <w:rFonts w:ascii="Tahoma" w:hAnsi="Tahoma" w:cs="Tahoma"/>
                <w:snapToGrid/>
                <w:sz w:val="22"/>
                <w:szCs w:val="22"/>
                <w:lang w:bidi="th-TH"/>
              </w:rPr>
              <w:t>ศูนย์อาหาร</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รับประทานในร้าน</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ยังคงสามารถเปิดได้</w:t>
            </w:r>
            <w:proofErr w:type="spellEnd"/>
          </w:p>
          <w:p w14:paraId="16496268" w14:textId="77777777" w:rsidR="00FE30FD" w:rsidRPr="002237FF" w:rsidRDefault="00FE30FD" w:rsidP="00FE30FD">
            <w:pPr>
              <w:numPr>
                <w:ilvl w:val="0"/>
                <w:numId w:val="32"/>
              </w:numPr>
              <w:autoSpaceDE w:val="0"/>
              <w:autoSpaceDN w:val="0"/>
              <w:adjustRightInd w:val="0"/>
              <w:ind w:left="741"/>
              <w:rPr>
                <w:rFonts w:ascii="Tahoma" w:eastAsia="SimSun" w:hAnsi="Tahoma" w:cs="Tahoma"/>
                <w:snapToGrid/>
                <w:sz w:val="22"/>
                <w:szCs w:val="22"/>
              </w:rPr>
            </w:pPr>
            <w:proofErr w:type="spellStart"/>
            <w:r w:rsidRPr="002237FF">
              <w:rPr>
                <w:rFonts w:ascii="Tahoma" w:hAnsi="Tahoma" w:cs="Tahoma"/>
                <w:snapToGrid/>
                <w:sz w:val="22"/>
                <w:szCs w:val="22"/>
                <w:lang w:bidi="th-TH"/>
              </w:rPr>
              <w:t>คาสิโนและการเล่นพนันในคลับต่าง</w:t>
            </w:r>
            <w:proofErr w:type="spellEnd"/>
            <w:r w:rsidRPr="002237FF">
              <w:rPr>
                <w:rFonts w:ascii="Tahoma" w:hAnsi="Tahoma" w:cs="Tahoma"/>
                <w:snapToGrid/>
                <w:sz w:val="22"/>
                <w:szCs w:val="22"/>
              </w:rPr>
              <w:t xml:space="preserve"> </w:t>
            </w:r>
            <w:r w:rsidRPr="002237FF">
              <w:rPr>
                <w:rFonts w:ascii="Tahoma" w:hAnsi="Tahoma" w:cs="Tahoma"/>
                <w:snapToGrid/>
                <w:sz w:val="22"/>
                <w:szCs w:val="22"/>
                <w:lang w:bidi="th-TH"/>
              </w:rPr>
              <w:t>ๆ</w:t>
            </w:r>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ยังคงสามารถเปิดได้</w:t>
            </w:r>
            <w:proofErr w:type="spellEnd"/>
          </w:p>
          <w:p w14:paraId="65602CA9" w14:textId="77777777" w:rsidR="00712F64" w:rsidRPr="00712F64" w:rsidRDefault="00FE30FD" w:rsidP="00712F64">
            <w:pPr>
              <w:numPr>
                <w:ilvl w:val="0"/>
                <w:numId w:val="32"/>
              </w:numPr>
              <w:autoSpaceDE w:val="0"/>
              <w:autoSpaceDN w:val="0"/>
              <w:adjustRightInd w:val="0"/>
              <w:ind w:left="741"/>
              <w:rPr>
                <w:rFonts w:ascii="Tahoma" w:eastAsia="Arial Unicode MS" w:hAnsi="Tahoma" w:cs="Tahoma"/>
                <w:sz w:val="22"/>
                <w:szCs w:val="22"/>
              </w:rPr>
            </w:pPr>
            <w:proofErr w:type="spellStart"/>
            <w:r w:rsidRPr="002237FF">
              <w:rPr>
                <w:rFonts w:ascii="Tahoma" w:hAnsi="Tahoma" w:cs="Tahoma"/>
                <w:snapToGrid/>
                <w:sz w:val="22"/>
                <w:szCs w:val="22"/>
                <w:lang w:bidi="th-TH"/>
              </w:rPr>
              <w:t>บริการที่เกี่ยวกับไอน้ำ</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ได้แก่</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ห้องซาวน่า</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ห้องอบไอน้ำ</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ตู้อบไอน้ำ</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และโรงอาบน้ำ</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ยังคงสามารถเปิดได้</w:t>
            </w:r>
            <w:proofErr w:type="spellEnd"/>
          </w:p>
          <w:p w14:paraId="66914B23" w14:textId="3C78123B" w:rsidR="00FE30FD" w:rsidRPr="002237FF" w:rsidRDefault="00FE30FD" w:rsidP="00712F64">
            <w:pPr>
              <w:numPr>
                <w:ilvl w:val="0"/>
                <w:numId w:val="32"/>
              </w:numPr>
              <w:autoSpaceDE w:val="0"/>
              <w:autoSpaceDN w:val="0"/>
              <w:adjustRightInd w:val="0"/>
              <w:ind w:left="741"/>
              <w:rPr>
                <w:rFonts w:ascii="Tahoma" w:eastAsia="Arial Unicode MS" w:hAnsi="Tahoma" w:cs="Tahoma"/>
                <w:sz w:val="22"/>
                <w:szCs w:val="22"/>
              </w:rPr>
            </w:pPr>
            <w:proofErr w:type="spellStart"/>
            <w:r w:rsidRPr="002237FF">
              <w:rPr>
                <w:rFonts w:ascii="Tahoma" w:hAnsi="Tahoma" w:cs="Tahoma"/>
                <w:snapToGrid/>
                <w:sz w:val="22"/>
                <w:szCs w:val="22"/>
                <w:lang w:bidi="th-TH"/>
              </w:rPr>
              <w:t>คลับระบำเปลื้องผ้า</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สถานค้าประเวณี</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เอสคอร์ตเอเจนซี</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ยังคงสามารถเปิดได้</w:t>
            </w:r>
            <w:proofErr w:type="spellEnd"/>
          </w:p>
        </w:tc>
      </w:tr>
      <w:tr w:rsidR="00FE30FD" w:rsidRPr="006072BA" w14:paraId="45BF9CE0" w14:textId="77777777" w:rsidTr="00491279">
        <w:trPr>
          <w:trHeight w:val="595"/>
        </w:trPr>
        <w:tc>
          <w:tcPr>
            <w:tcW w:w="7343" w:type="dxa"/>
            <w:shd w:val="clear" w:color="auto" w:fill="auto"/>
            <w:vAlign w:val="center"/>
          </w:tcPr>
          <w:p w14:paraId="65E7E404" w14:textId="07B93A88" w:rsidR="00FE30FD" w:rsidRPr="006072BA" w:rsidRDefault="00FE30FD" w:rsidP="00FE30FD">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lastRenderedPageBreak/>
              <w:t>What stays the same</w:t>
            </w:r>
          </w:p>
        </w:tc>
        <w:tc>
          <w:tcPr>
            <w:tcW w:w="7655" w:type="dxa"/>
            <w:shd w:val="clear" w:color="auto" w:fill="auto"/>
            <w:vAlign w:val="center"/>
          </w:tcPr>
          <w:p w14:paraId="0C236AA9" w14:textId="5CE0A02C" w:rsidR="00FE30FD" w:rsidRPr="002237FF" w:rsidRDefault="00FE30FD" w:rsidP="00FE30FD">
            <w:pPr>
              <w:rPr>
                <w:rFonts w:ascii="Tahoma" w:eastAsia="Arial Unicode MS" w:hAnsi="Tahoma" w:cs="Tahoma"/>
                <w:sz w:val="22"/>
                <w:szCs w:val="22"/>
              </w:rPr>
            </w:pPr>
            <w:proofErr w:type="spellStart"/>
            <w:r w:rsidRPr="002237FF">
              <w:rPr>
                <w:rFonts w:ascii="Tahoma" w:hAnsi="Tahoma" w:cs="Tahoma"/>
                <w:b/>
                <w:snapToGrid/>
                <w:sz w:val="22"/>
                <w:szCs w:val="22"/>
                <w:lang w:bidi="th-TH"/>
              </w:rPr>
              <w:t>มีอะไรบ้างที่ยังคงไว้เหมือนเดิม</w:t>
            </w:r>
            <w:proofErr w:type="spellEnd"/>
          </w:p>
        </w:tc>
      </w:tr>
      <w:tr w:rsidR="00FE30FD" w:rsidRPr="006072BA" w14:paraId="0A3DC619" w14:textId="77777777" w:rsidTr="00491279">
        <w:trPr>
          <w:trHeight w:val="595"/>
        </w:trPr>
        <w:tc>
          <w:tcPr>
            <w:tcW w:w="7343" w:type="dxa"/>
            <w:shd w:val="clear" w:color="auto" w:fill="auto"/>
            <w:vAlign w:val="center"/>
          </w:tcPr>
          <w:p w14:paraId="62F22227" w14:textId="32ABF10A" w:rsidR="00FE30FD" w:rsidRPr="006072BA" w:rsidRDefault="00FE30FD" w:rsidP="00FE30FD">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All requirements under </w:t>
            </w:r>
            <w:r w:rsidRPr="004E11E0">
              <w:rPr>
                <w:rFonts w:asciiTheme="minorBidi" w:eastAsia="SimSun" w:hAnsiTheme="minorBidi" w:cstheme="minorBidi"/>
                <w:b/>
                <w:bCs/>
                <w:snapToGrid/>
                <w:lang w:eastAsia="en-AU"/>
              </w:rPr>
              <w:t>Step 2.2</w:t>
            </w:r>
            <w:r w:rsidRPr="004E11E0">
              <w:rPr>
                <w:rFonts w:asciiTheme="minorBidi" w:eastAsia="SimSun" w:hAnsiTheme="minorBidi" w:cstheme="minorBidi"/>
                <w:snapToGrid/>
                <w:lang w:eastAsia="en-AU"/>
              </w:rPr>
              <w:t> remain in place, in particular:</w:t>
            </w:r>
          </w:p>
        </w:tc>
        <w:tc>
          <w:tcPr>
            <w:tcW w:w="7655" w:type="dxa"/>
            <w:shd w:val="clear" w:color="auto" w:fill="auto"/>
            <w:vAlign w:val="center"/>
          </w:tcPr>
          <w:p w14:paraId="7E1517C4" w14:textId="306DB2CB" w:rsidR="00FE30FD" w:rsidRPr="002237FF" w:rsidRDefault="00FE30FD" w:rsidP="00FE30FD">
            <w:pPr>
              <w:rPr>
                <w:rFonts w:ascii="Tahoma" w:eastAsia="Arial Unicode MS" w:hAnsi="Tahoma" w:cs="Tahoma"/>
                <w:sz w:val="22"/>
                <w:szCs w:val="22"/>
              </w:rPr>
            </w:pPr>
            <w:proofErr w:type="spellStart"/>
            <w:r w:rsidRPr="002237FF">
              <w:rPr>
                <w:rFonts w:ascii="Tahoma" w:hAnsi="Tahoma" w:cs="Tahoma"/>
                <w:snapToGrid/>
                <w:sz w:val="22"/>
                <w:szCs w:val="22"/>
                <w:lang w:bidi="th-TH"/>
              </w:rPr>
              <w:t>ข้อกำหนดทั้งหมดภายใต้</w:t>
            </w:r>
            <w:proofErr w:type="spellEnd"/>
            <w:r w:rsidRPr="002237FF">
              <w:rPr>
                <w:rFonts w:ascii="Tahoma" w:hAnsi="Tahoma" w:cs="Tahoma"/>
                <w:snapToGrid/>
                <w:sz w:val="22"/>
                <w:szCs w:val="22"/>
              </w:rPr>
              <w:t> </w:t>
            </w:r>
            <w:proofErr w:type="spellStart"/>
            <w:r w:rsidRPr="002237FF">
              <w:rPr>
                <w:rFonts w:ascii="Tahoma" w:hAnsi="Tahoma" w:cs="Tahoma"/>
                <w:b/>
                <w:snapToGrid/>
                <w:sz w:val="22"/>
                <w:szCs w:val="22"/>
                <w:lang w:bidi="th-TH"/>
              </w:rPr>
              <w:t>ขั้นที่</w:t>
            </w:r>
            <w:proofErr w:type="spellEnd"/>
            <w:r w:rsidRPr="002237FF">
              <w:rPr>
                <w:rFonts w:ascii="Tahoma" w:hAnsi="Tahoma" w:cs="Tahoma"/>
                <w:b/>
                <w:snapToGrid/>
                <w:sz w:val="22"/>
                <w:szCs w:val="22"/>
              </w:rPr>
              <w:t xml:space="preserve"> 2.2</w:t>
            </w:r>
            <w:r w:rsidRPr="002237FF">
              <w:rPr>
                <w:rFonts w:ascii="Tahoma" w:hAnsi="Tahoma" w:cs="Tahoma"/>
                <w:snapToGrid/>
                <w:sz w:val="22"/>
                <w:szCs w:val="22"/>
              </w:rPr>
              <w:t> </w:t>
            </w:r>
            <w:proofErr w:type="spellStart"/>
            <w:r w:rsidRPr="002237FF">
              <w:rPr>
                <w:rFonts w:ascii="Tahoma" w:hAnsi="Tahoma" w:cs="Tahoma"/>
                <w:snapToGrid/>
                <w:sz w:val="22"/>
                <w:szCs w:val="22"/>
                <w:lang w:bidi="th-TH"/>
              </w:rPr>
              <w:t>ให้ยังคงไว้เหมือนเดิม</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โดยเฉพาะอย่างยิ่ง</w:t>
            </w:r>
            <w:proofErr w:type="spellEnd"/>
          </w:p>
        </w:tc>
      </w:tr>
      <w:tr w:rsidR="00FE30FD" w:rsidRPr="006072BA" w14:paraId="3782694E" w14:textId="77777777" w:rsidTr="004E11E0">
        <w:trPr>
          <w:trHeight w:val="1899"/>
        </w:trPr>
        <w:tc>
          <w:tcPr>
            <w:tcW w:w="7343" w:type="dxa"/>
            <w:shd w:val="clear" w:color="auto" w:fill="auto"/>
            <w:vAlign w:val="center"/>
          </w:tcPr>
          <w:p w14:paraId="777E68C6" w14:textId="77777777" w:rsidR="00FE30FD" w:rsidRPr="004E11E0" w:rsidRDefault="00FE30FD" w:rsidP="00FE30FD">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No limit on household visits.</w:t>
            </w:r>
          </w:p>
          <w:p w14:paraId="47866A3E" w14:textId="77777777" w:rsidR="00FE30FD" w:rsidRPr="004E11E0" w:rsidRDefault="00FE30FD" w:rsidP="00FE30FD">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Venues, facilities and businesses must develop and follow a COVID Safety Plan.</w:t>
            </w:r>
          </w:p>
          <w:p w14:paraId="7EE5655A" w14:textId="7FD0A85E" w:rsidR="00FE30FD" w:rsidRPr="006072BA" w:rsidRDefault="00FE30FD" w:rsidP="00FE30FD">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limit on the number of people allowed at outdoor gatherings remains at 100 people.</w:t>
            </w:r>
          </w:p>
        </w:tc>
        <w:tc>
          <w:tcPr>
            <w:tcW w:w="7655" w:type="dxa"/>
            <w:shd w:val="clear" w:color="auto" w:fill="auto"/>
            <w:vAlign w:val="center"/>
          </w:tcPr>
          <w:p w14:paraId="7B70E46B" w14:textId="77777777" w:rsidR="00FE30FD" w:rsidRPr="002237FF" w:rsidRDefault="00FE30FD" w:rsidP="00FE30FD">
            <w:pPr>
              <w:numPr>
                <w:ilvl w:val="0"/>
                <w:numId w:val="33"/>
              </w:numPr>
              <w:autoSpaceDE w:val="0"/>
              <w:autoSpaceDN w:val="0"/>
              <w:adjustRightInd w:val="0"/>
              <w:rPr>
                <w:rFonts w:ascii="Tahoma" w:eastAsia="SimSun" w:hAnsi="Tahoma" w:cs="Tahoma"/>
                <w:snapToGrid/>
                <w:sz w:val="22"/>
                <w:szCs w:val="22"/>
              </w:rPr>
            </w:pPr>
            <w:proofErr w:type="spellStart"/>
            <w:r w:rsidRPr="002237FF">
              <w:rPr>
                <w:rFonts w:ascii="Tahoma" w:hAnsi="Tahoma" w:cs="Tahoma"/>
                <w:snapToGrid/>
                <w:sz w:val="22"/>
                <w:szCs w:val="22"/>
                <w:lang w:bidi="th-TH"/>
              </w:rPr>
              <w:t>ไม่จำกัดจำนวนผู้มาเยือนได้ที่บ้าน</w:t>
            </w:r>
            <w:proofErr w:type="spellEnd"/>
          </w:p>
          <w:p w14:paraId="1EEDFC6E" w14:textId="77777777" w:rsidR="00712F64" w:rsidRPr="00712F64" w:rsidRDefault="00FE30FD" w:rsidP="00712F64">
            <w:pPr>
              <w:numPr>
                <w:ilvl w:val="0"/>
                <w:numId w:val="33"/>
              </w:numPr>
              <w:autoSpaceDE w:val="0"/>
              <w:autoSpaceDN w:val="0"/>
              <w:adjustRightInd w:val="0"/>
              <w:rPr>
                <w:rFonts w:ascii="Tahoma" w:eastAsia="Arial Unicode MS" w:hAnsi="Tahoma" w:cs="Tahoma"/>
                <w:sz w:val="22"/>
                <w:szCs w:val="22"/>
              </w:rPr>
            </w:pPr>
            <w:proofErr w:type="spellStart"/>
            <w:r w:rsidRPr="002237FF">
              <w:rPr>
                <w:rFonts w:ascii="Tahoma" w:hAnsi="Tahoma" w:cs="Tahoma"/>
                <w:snapToGrid/>
                <w:sz w:val="22"/>
                <w:szCs w:val="22"/>
                <w:lang w:bidi="th-TH"/>
              </w:rPr>
              <w:t>สถานประกอบการ</w:t>
            </w:r>
            <w:proofErr w:type="spellEnd"/>
            <w:r w:rsidRPr="002237FF">
              <w:rPr>
                <w:rFonts w:ascii="Tahoma" w:hAnsi="Tahoma" w:cs="Tahoma"/>
                <w:snapToGrid/>
                <w:sz w:val="22"/>
                <w:szCs w:val="22"/>
              </w:rPr>
              <w:t xml:space="preserve"> </w:t>
            </w:r>
            <w:r w:rsidRPr="002237FF">
              <w:rPr>
                <w:rFonts w:ascii="Tahoma" w:hAnsi="Tahoma" w:cs="Tahoma"/>
                <w:snapToGrid/>
                <w:sz w:val="22"/>
                <w:szCs w:val="22"/>
                <w:lang w:bidi="th-TH"/>
              </w:rPr>
              <w:t>สถานอำนวยความสะดวกและธุรกิจจะต้องเตรียมและปฏิบัติตามแผนความปลอดภัยจากโรค</w:t>
            </w:r>
            <w:r w:rsidRPr="002237FF">
              <w:rPr>
                <w:rFonts w:ascii="Tahoma" w:hAnsi="Tahoma" w:cs="Tahoma"/>
                <w:snapToGrid/>
                <w:sz w:val="22"/>
                <w:szCs w:val="22"/>
              </w:rPr>
              <w:t xml:space="preserve"> COVID</w:t>
            </w:r>
          </w:p>
          <w:p w14:paraId="416E1758" w14:textId="11BD1C29" w:rsidR="00FE30FD" w:rsidRPr="002237FF" w:rsidRDefault="00FE30FD" w:rsidP="00712F64">
            <w:pPr>
              <w:numPr>
                <w:ilvl w:val="0"/>
                <w:numId w:val="33"/>
              </w:numPr>
              <w:autoSpaceDE w:val="0"/>
              <w:autoSpaceDN w:val="0"/>
              <w:adjustRightInd w:val="0"/>
              <w:rPr>
                <w:rFonts w:ascii="Tahoma" w:eastAsia="Arial Unicode MS" w:hAnsi="Tahoma" w:cs="Tahoma"/>
                <w:sz w:val="22"/>
                <w:szCs w:val="22"/>
              </w:rPr>
            </w:pPr>
            <w:proofErr w:type="spellStart"/>
            <w:r w:rsidRPr="002237FF">
              <w:rPr>
                <w:rFonts w:ascii="Tahoma" w:hAnsi="Tahoma" w:cs="Tahoma"/>
                <w:snapToGrid/>
                <w:sz w:val="22"/>
                <w:szCs w:val="22"/>
                <w:lang w:bidi="th-TH"/>
              </w:rPr>
              <w:t>การจำกัดจำนวนคนที่อนุญาตให้ชุมนุมกันในกลางแจ้งได้ยังคงอยู่ที่</w:t>
            </w:r>
            <w:proofErr w:type="spellEnd"/>
            <w:r w:rsidRPr="002237FF">
              <w:rPr>
                <w:rFonts w:ascii="Tahoma" w:hAnsi="Tahoma" w:cs="Tahoma"/>
                <w:snapToGrid/>
                <w:sz w:val="22"/>
                <w:szCs w:val="22"/>
              </w:rPr>
              <w:t xml:space="preserve"> 100 </w:t>
            </w:r>
            <w:proofErr w:type="spellStart"/>
            <w:r w:rsidRPr="002237FF">
              <w:rPr>
                <w:rFonts w:ascii="Tahoma" w:hAnsi="Tahoma" w:cs="Tahoma"/>
                <w:snapToGrid/>
                <w:sz w:val="22"/>
                <w:szCs w:val="22"/>
                <w:lang w:bidi="th-TH"/>
              </w:rPr>
              <w:t>คน</w:t>
            </w:r>
            <w:proofErr w:type="spellEnd"/>
          </w:p>
        </w:tc>
      </w:tr>
      <w:tr w:rsidR="00FE30FD" w:rsidRPr="006072BA" w14:paraId="5AFAB7CF" w14:textId="77777777" w:rsidTr="00491279">
        <w:trPr>
          <w:trHeight w:val="595"/>
        </w:trPr>
        <w:tc>
          <w:tcPr>
            <w:tcW w:w="7343" w:type="dxa"/>
            <w:shd w:val="clear" w:color="auto" w:fill="auto"/>
            <w:vAlign w:val="center"/>
          </w:tcPr>
          <w:p w14:paraId="210EA31D" w14:textId="0E09C4D8" w:rsidR="00FE30FD" w:rsidRPr="006072BA" w:rsidRDefault="00FE30FD" w:rsidP="00FE30FD">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499457D7" w14:textId="0FC94B31" w:rsidR="00FE30FD" w:rsidRPr="002237FF" w:rsidRDefault="00FE30FD" w:rsidP="00FE30FD">
            <w:pPr>
              <w:rPr>
                <w:rFonts w:ascii="Tahoma" w:eastAsia="Arial Unicode MS" w:hAnsi="Tahoma" w:cs="Tahoma"/>
                <w:sz w:val="22"/>
                <w:szCs w:val="22"/>
              </w:rPr>
            </w:pPr>
            <w:proofErr w:type="spellStart"/>
            <w:r w:rsidRPr="002237FF">
              <w:rPr>
                <w:rFonts w:ascii="Tahoma" w:hAnsi="Tahoma" w:cs="Tahoma"/>
                <w:b/>
                <w:snapToGrid/>
                <w:sz w:val="22"/>
                <w:szCs w:val="22"/>
                <w:lang w:bidi="th-TH"/>
              </w:rPr>
              <w:t>เราทุกคนจำเป็นต้องมีความรับผิดชอบอย่างต่อเนื่อง</w:t>
            </w:r>
            <w:proofErr w:type="spellEnd"/>
          </w:p>
        </w:tc>
      </w:tr>
      <w:tr w:rsidR="00FE30FD" w:rsidRPr="006072BA" w14:paraId="35DF19BB" w14:textId="77777777" w:rsidTr="004E11E0">
        <w:trPr>
          <w:trHeight w:val="941"/>
        </w:trPr>
        <w:tc>
          <w:tcPr>
            <w:tcW w:w="7343" w:type="dxa"/>
            <w:shd w:val="clear" w:color="auto" w:fill="auto"/>
            <w:vAlign w:val="center"/>
          </w:tcPr>
          <w:p w14:paraId="5F6A5ED5" w14:textId="6F2BC281" w:rsidR="00FE30FD" w:rsidRPr="006072BA" w:rsidRDefault="00FE30FD" w:rsidP="00FE30FD">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EC4FB08" w14:textId="38565212" w:rsidR="00FE30FD" w:rsidRPr="002237FF" w:rsidRDefault="00FE30FD" w:rsidP="00FE30FD">
            <w:pPr>
              <w:rPr>
                <w:rFonts w:ascii="Tahoma" w:eastAsia="Arial Unicode MS" w:hAnsi="Tahoma" w:cs="Tahoma"/>
                <w:sz w:val="22"/>
                <w:szCs w:val="22"/>
              </w:rPr>
            </w:pPr>
            <w:r w:rsidRPr="002237FF">
              <w:rPr>
                <w:rFonts w:ascii="Tahoma" w:hAnsi="Tahoma" w:cs="Tahoma"/>
                <w:snapToGrid/>
                <w:sz w:val="22"/>
                <w:szCs w:val="22"/>
                <w:lang w:bidi="th-TH"/>
              </w:rPr>
              <w:t>ข้อกำหนดภายใต้แนวทางด้านสาธารณสุขไม่เพียงแต่เป็นความรับผิดชอบของผู้ประกอบธุรกิจเท่านั้น</w:t>
            </w:r>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แต่ยังขยายรวมไปถึงชาวแคนเบอร์ราทุกคนด้วย</w:t>
            </w:r>
            <w:proofErr w:type="spellEnd"/>
          </w:p>
        </w:tc>
      </w:tr>
      <w:tr w:rsidR="00FE30FD" w:rsidRPr="006072BA" w14:paraId="234D6247" w14:textId="77777777" w:rsidTr="004E11E0">
        <w:trPr>
          <w:trHeight w:val="1267"/>
        </w:trPr>
        <w:tc>
          <w:tcPr>
            <w:tcW w:w="7343" w:type="dxa"/>
            <w:shd w:val="clear" w:color="auto" w:fill="auto"/>
            <w:vAlign w:val="center"/>
          </w:tcPr>
          <w:p w14:paraId="4AEADAC6" w14:textId="552EE1D6" w:rsidR="00FE30FD" w:rsidRPr="006072BA" w:rsidRDefault="00FE30FD" w:rsidP="00FE30FD">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4E11E0">
              <w:rPr>
                <w:rFonts w:asciiTheme="minorBidi" w:eastAsia="SimSun" w:hAnsiTheme="minorBidi" w:cstheme="minorBidi"/>
                <w:snapToGrid/>
                <w:lang w:eastAsia="en-AU"/>
              </w:rPr>
              <w:t>COVIDSafe</w:t>
            </w:r>
            <w:proofErr w:type="spellEnd"/>
            <w:r w:rsidRPr="004E11E0">
              <w:rPr>
                <w:rFonts w:asciiTheme="minorBidi" w:eastAsia="SimSun" w:hAnsiTheme="minorBidi" w:cstheme="minorBidi"/>
                <w:snapToGrid/>
                <w:lang w:eastAsia="en-AU"/>
              </w:rPr>
              <w:t xml:space="preserve"> app.</w:t>
            </w:r>
          </w:p>
        </w:tc>
        <w:tc>
          <w:tcPr>
            <w:tcW w:w="7655" w:type="dxa"/>
            <w:shd w:val="clear" w:color="auto" w:fill="auto"/>
            <w:vAlign w:val="center"/>
          </w:tcPr>
          <w:p w14:paraId="2ED7AE7B" w14:textId="62974A03" w:rsidR="00FE30FD" w:rsidRPr="002237FF" w:rsidRDefault="00FE30FD" w:rsidP="00FE30FD">
            <w:pPr>
              <w:rPr>
                <w:rFonts w:ascii="Tahoma" w:eastAsia="Arial Unicode MS" w:hAnsi="Tahoma" w:cs="Tahoma"/>
                <w:sz w:val="22"/>
                <w:szCs w:val="22"/>
              </w:rPr>
            </w:pPr>
            <w:r w:rsidRPr="002237FF">
              <w:rPr>
                <w:rFonts w:ascii="Tahoma" w:hAnsi="Tahoma" w:cs="Tahoma"/>
                <w:snapToGrid/>
                <w:sz w:val="22"/>
                <w:szCs w:val="22"/>
                <w:lang w:bidi="th-TH"/>
              </w:rPr>
              <w:t>เราทุกคนจะต้องปฏิบัติตนอย่างสมเหตุสมผลในเวลาที่มีผู้มาเยือนบ้านของเราและเราควรวางมาตรการควบคุมของตนเองไว้ด้วย</w:t>
            </w:r>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ซึ่งรวมถึงการจำให้ได้ว่า</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ใครอยู่ที่ไหนและเวลาใด</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และการดาวน์โหลดแอป</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rPr>
              <w:t>COVIDSafe</w:t>
            </w:r>
            <w:proofErr w:type="spellEnd"/>
          </w:p>
        </w:tc>
      </w:tr>
      <w:tr w:rsidR="00FE30FD" w:rsidRPr="006072BA" w14:paraId="469947C6" w14:textId="77777777" w:rsidTr="004E11E0">
        <w:trPr>
          <w:trHeight w:val="1553"/>
        </w:trPr>
        <w:tc>
          <w:tcPr>
            <w:tcW w:w="7343" w:type="dxa"/>
            <w:shd w:val="clear" w:color="auto" w:fill="auto"/>
            <w:vAlign w:val="center"/>
          </w:tcPr>
          <w:p w14:paraId="6ABFFD1B" w14:textId="689D6848" w:rsidR="00FE30FD" w:rsidRPr="006072BA" w:rsidRDefault="00FE30FD" w:rsidP="00FE30FD">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625DE14E" w14:textId="2CE03752" w:rsidR="00FE30FD" w:rsidRPr="002237FF" w:rsidRDefault="00FE30FD" w:rsidP="00FE30FD">
            <w:pPr>
              <w:rPr>
                <w:rFonts w:ascii="Tahoma" w:eastAsia="Arial Unicode MS" w:hAnsi="Tahoma" w:cs="Tahoma"/>
                <w:sz w:val="22"/>
                <w:szCs w:val="22"/>
              </w:rPr>
            </w:pPr>
            <w:proofErr w:type="spellStart"/>
            <w:r w:rsidRPr="002237FF">
              <w:rPr>
                <w:rFonts w:ascii="Tahoma" w:hAnsi="Tahoma" w:cs="Tahoma"/>
                <w:snapToGrid/>
                <w:sz w:val="22"/>
                <w:szCs w:val="22"/>
                <w:lang w:bidi="th-TH"/>
              </w:rPr>
              <w:t>สิ่งสำคัญก็คือ</w:t>
            </w:r>
            <w:proofErr w:type="spellEnd"/>
            <w:r w:rsidRPr="002237FF">
              <w:rPr>
                <w:rFonts w:ascii="Tahoma" w:hAnsi="Tahoma" w:cs="Tahoma"/>
                <w:snapToGrid/>
                <w:sz w:val="22"/>
                <w:szCs w:val="22"/>
              </w:rPr>
              <w:t xml:space="preserve"> </w:t>
            </w:r>
            <w:r w:rsidRPr="002237FF">
              <w:rPr>
                <w:rFonts w:ascii="Tahoma" w:hAnsi="Tahoma" w:cs="Tahoma"/>
                <w:snapToGrid/>
                <w:sz w:val="22"/>
                <w:szCs w:val="22"/>
                <w:lang w:bidi="th-TH"/>
              </w:rPr>
              <w:t>เราต้องรักษาแนวทางการป้องกันโรคให้ดีที่สุดโดยการรักษาระยะห่างทางกายภาพ</w:t>
            </w:r>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การปฏิบัติตามสุขอนามัยของมือและทางเดินหายใจที่ดี</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เก็บตัวอยู่กับบ้าน</w:t>
            </w:r>
            <w:proofErr w:type="spellEnd"/>
            <w:r w:rsidR="009465B7">
              <w:rPr>
                <w:rFonts w:ascii="Tahoma" w:hAnsi="Tahoma" w:cs="Tahoma"/>
                <w:snapToGrid/>
                <w:sz w:val="22"/>
                <w:szCs w:val="22"/>
              </w:rPr>
              <w:t xml:space="preserve"> </w:t>
            </w:r>
            <w:proofErr w:type="spellStart"/>
            <w:r w:rsidRPr="002237FF">
              <w:rPr>
                <w:rFonts w:ascii="Tahoma" w:hAnsi="Tahoma" w:cs="Tahoma"/>
                <w:snapToGrid/>
                <w:sz w:val="22"/>
                <w:szCs w:val="22"/>
                <w:lang w:bidi="th-TH"/>
              </w:rPr>
              <w:t>หากคุณไม่สบาย</w:t>
            </w:r>
            <w:proofErr w:type="spellEnd"/>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และเข้ารับการตรวจหาเชื้อ</w:t>
            </w:r>
            <w:proofErr w:type="spellEnd"/>
            <w:r w:rsidR="009465B7">
              <w:rPr>
                <w:rFonts w:ascii="Tahoma" w:hAnsi="Tahoma" w:cs="Tahoma"/>
                <w:snapToGrid/>
                <w:sz w:val="22"/>
                <w:szCs w:val="22"/>
              </w:rPr>
              <w:t xml:space="preserve"> </w:t>
            </w:r>
            <w:proofErr w:type="spellStart"/>
            <w:r w:rsidRPr="002237FF">
              <w:rPr>
                <w:rFonts w:ascii="Tahoma" w:hAnsi="Tahoma" w:cs="Tahoma"/>
                <w:snapToGrid/>
                <w:sz w:val="22"/>
                <w:szCs w:val="22"/>
                <w:lang w:bidi="th-TH"/>
              </w:rPr>
              <w:t>หากคุณมีอาการ</w:t>
            </w:r>
            <w:proofErr w:type="spellEnd"/>
          </w:p>
        </w:tc>
      </w:tr>
      <w:tr w:rsidR="00FE30FD" w:rsidRPr="006072BA" w14:paraId="5740491A" w14:textId="77777777" w:rsidTr="004E11E0">
        <w:trPr>
          <w:trHeight w:val="978"/>
        </w:trPr>
        <w:tc>
          <w:tcPr>
            <w:tcW w:w="7343" w:type="dxa"/>
            <w:shd w:val="clear" w:color="auto" w:fill="auto"/>
            <w:vAlign w:val="center"/>
          </w:tcPr>
          <w:p w14:paraId="016359FD" w14:textId="3B955E4F" w:rsidR="00FE30FD" w:rsidRPr="006072BA" w:rsidRDefault="00FE30FD" w:rsidP="00FE30FD">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5B7FF754" w14:textId="3D69BC13" w:rsidR="00FE30FD" w:rsidRPr="002237FF" w:rsidRDefault="00FE30FD" w:rsidP="00FE30FD">
            <w:pPr>
              <w:rPr>
                <w:rFonts w:ascii="Tahoma" w:eastAsia="Arial Unicode MS" w:hAnsi="Tahoma" w:cs="Tahoma"/>
                <w:sz w:val="22"/>
                <w:szCs w:val="22"/>
              </w:rPr>
            </w:pPr>
            <w:r w:rsidRPr="002237FF">
              <w:rPr>
                <w:rFonts w:ascii="Tahoma" w:hAnsi="Tahoma" w:cs="Tahoma"/>
                <w:snapToGrid/>
                <w:sz w:val="22"/>
                <w:szCs w:val="22"/>
                <w:lang w:bidi="th-TH"/>
              </w:rPr>
              <w:t>หลักการเหล่านี้ไม่มีการเปลี่ยนแปลงและเป็นวิธีที่ดีที่สุดในการดูแลรักษาชุมชนของเราให้ปลอดภัย</w:t>
            </w:r>
            <w:r w:rsidRPr="002237FF">
              <w:rPr>
                <w:rFonts w:ascii="Tahoma" w:hAnsi="Tahoma" w:cs="Tahoma"/>
                <w:snapToGrid/>
                <w:sz w:val="22"/>
                <w:szCs w:val="22"/>
              </w:rPr>
              <w:t xml:space="preserve"> </w:t>
            </w:r>
            <w:proofErr w:type="spellStart"/>
            <w:r w:rsidRPr="002237FF">
              <w:rPr>
                <w:rFonts w:ascii="Tahoma" w:hAnsi="Tahoma" w:cs="Tahoma"/>
                <w:snapToGrid/>
                <w:sz w:val="22"/>
                <w:szCs w:val="22"/>
                <w:lang w:bidi="th-TH"/>
              </w:rPr>
              <w:t>และเพื่อป้องกันการแพร่กระจายของ</w:t>
            </w:r>
            <w:proofErr w:type="spellEnd"/>
            <w:r w:rsidRPr="002237FF">
              <w:rPr>
                <w:rFonts w:ascii="Tahoma" w:hAnsi="Tahoma" w:cs="Tahoma"/>
                <w:snapToGrid/>
                <w:sz w:val="22"/>
                <w:szCs w:val="22"/>
              </w:rPr>
              <w:t xml:space="preserve"> COVID-19</w:t>
            </w:r>
          </w:p>
        </w:tc>
      </w:tr>
    </w:tbl>
    <w:p w14:paraId="46825F7D"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00706" w14:textId="77777777" w:rsidR="006F4927" w:rsidRDefault="006F4927">
      <w:pPr>
        <w:rPr>
          <w:rFonts w:eastAsia="SimSun"/>
        </w:rPr>
      </w:pPr>
      <w:r>
        <w:rPr>
          <w:rFonts w:eastAsia="SimSun"/>
        </w:rPr>
        <w:separator/>
      </w:r>
    </w:p>
  </w:endnote>
  <w:endnote w:type="continuationSeparator" w:id="0">
    <w:p w14:paraId="5F2C077E" w14:textId="77777777" w:rsidR="006F4927" w:rsidRDefault="006F4927">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CB7E" w14:textId="77777777" w:rsidR="006F4927" w:rsidRDefault="006F4927">
      <w:pPr>
        <w:rPr>
          <w:rFonts w:eastAsia="SimSun"/>
        </w:rPr>
      </w:pPr>
      <w:r>
        <w:rPr>
          <w:rFonts w:eastAsia="SimSun"/>
        </w:rPr>
        <w:separator/>
      </w:r>
    </w:p>
  </w:footnote>
  <w:footnote w:type="continuationSeparator" w:id="0">
    <w:p w14:paraId="2A7095F6" w14:textId="77777777" w:rsidR="006F4927" w:rsidRDefault="006F4927">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8"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2"/>
  </w:num>
  <w:num w:numId="4">
    <w:abstractNumId w:val="25"/>
  </w:num>
  <w:num w:numId="5">
    <w:abstractNumId w:val="17"/>
  </w:num>
  <w:num w:numId="6">
    <w:abstractNumId w:val="16"/>
  </w:num>
  <w:num w:numId="7">
    <w:abstractNumId w:val="2"/>
  </w:num>
  <w:num w:numId="8">
    <w:abstractNumId w:val="30"/>
  </w:num>
  <w:num w:numId="9">
    <w:abstractNumId w:val="9"/>
  </w:num>
  <w:num w:numId="10">
    <w:abstractNumId w:val="24"/>
  </w:num>
  <w:num w:numId="11">
    <w:abstractNumId w:val="4"/>
  </w:num>
  <w:num w:numId="12">
    <w:abstractNumId w:val="20"/>
  </w:num>
  <w:num w:numId="13">
    <w:abstractNumId w:val="23"/>
  </w:num>
  <w:num w:numId="14">
    <w:abstractNumId w:val="29"/>
  </w:num>
  <w:num w:numId="15">
    <w:abstractNumId w:val="14"/>
  </w:num>
  <w:num w:numId="16">
    <w:abstractNumId w:val="18"/>
  </w:num>
  <w:num w:numId="17">
    <w:abstractNumId w:val="3"/>
  </w:num>
  <w:num w:numId="18">
    <w:abstractNumId w:val="22"/>
  </w:num>
  <w:num w:numId="19">
    <w:abstractNumId w:val="6"/>
  </w:num>
  <w:num w:numId="20">
    <w:abstractNumId w:val="15"/>
  </w:num>
  <w:num w:numId="21">
    <w:abstractNumId w:val="27"/>
  </w:num>
  <w:num w:numId="22">
    <w:abstractNumId w:val="10"/>
  </w:num>
  <w:num w:numId="23">
    <w:abstractNumId w:val="19"/>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26"/>
  </w:num>
  <w:num w:numId="31">
    <w:abstractNumId w:val="31"/>
  </w:num>
  <w:num w:numId="32">
    <w:abstractNumId w:val="2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75F4"/>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10822"/>
    <w:rsid w:val="0022323C"/>
    <w:rsid w:val="002237FF"/>
    <w:rsid w:val="00226F6B"/>
    <w:rsid w:val="002351FE"/>
    <w:rsid w:val="00241D56"/>
    <w:rsid w:val="0024367C"/>
    <w:rsid w:val="00243B6E"/>
    <w:rsid w:val="00245BD8"/>
    <w:rsid w:val="00256409"/>
    <w:rsid w:val="00263136"/>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286E"/>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0C3F"/>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6F4927"/>
    <w:rsid w:val="00700AFD"/>
    <w:rsid w:val="00712F64"/>
    <w:rsid w:val="00714855"/>
    <w:rsid w:val="007377BF"/>
    <w:rsid w:val="007519DD"/>
    <w:rsid w:val="0076255B"/>
    <w:rsid w:val="00766B5D"/>
    <w:rsid w:val="0077096F"/>
    <w:rsid w:val="00770C6C"/>
    <w:rsid w:val="00793FF2"/>
    <w:rsid w:val="007B1A64"/>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3C7A"/>
    <w:rsid w:val="008E77B0"/>
    <w:rsid w:val="0090433B"/>
    <w:rsid w:val="0092153F"/>
    <w:rsid w:val="00926037"/>
    <w:rsid w:val="00941361"/>
    <w:rsid w:val="009416B0"/>
    <w:rsid w:val="009465B7"/>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9D6"/>
    <w:rsid w:val="00AC3AA7"/>
    <w:rsid w:val="00AD6D8E"/>
    <w:rsid w:val="00AE4A76"/>
    <w:rsid w:val="00AF0A10"/>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F01B7"/>
    <w:rsid w:val="00BF3328"/>
    <w:rsid w:val="00C13009"/>
    <w:rsid w:val="00C22947"/>
    <w:rsid w:val="00C22E65"/>
    <w:rsid w:val="00C34D5E"/>
    <w:rsid w:val="00C53213"/>
    <w:rsid w:val="00C64CBF"/>
    <w:rsid w:val="00C6625C"/>
    <w:rsid w:val="00C72357"/>
    <w:rsid w:val="00C8021B"/>
    <w:rsid w:val="00C82FD5"/>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110BC"/>
    <w:rsid w:val="00E120BF"/>
    <w:rsid w:val="00E127EB"/>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3E3E"/>
    <w:rsid w:val="00F815F7"/>
    <w:rsid w:val="00FC3845"/>
    <w:rsid w:val="00FD2285"/>
    <w:rsid w:val="00FE2195"/>
    <w:rsid w:val="00FE30FD"/>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www.w3.org/XML/1998/namespace"/>
    <ds:schemaRef ds:uri="http://purl.org/dc/elements/1.1/"/>
    <ds:schemaRef ds:uri="http://schemas.microsoft.com/office/2006/metadata/properties"/>
    <ds:schemaRef ds:uri="34958884-07a2-4c1b-89fa-6f12bc62ed52"/>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3770d53c-bd17-423a-a432-f972ff08ea17"/>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3</Pages>
  <Words>1106</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Summary-of-Key-Changes-01-09-2020</vt:lpstr>
    </vt:vector>
  </TitlesOfParts>
  <Company>ACT Government</Company>
  <LinksUpToDate>false</LinksUpToDate>
  <CharactersWithSpaces>5956</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Summary-of-Key-Changes-01-09-2020</dc:title>
  <dc:subject>Summary-of-Key-Changes-01-09-2020</dc:subject>
  <dc:creator>ACT Government</dc:creator>
  <cp:keywords>COVID-19</cp:keywords>
  <dc:description>Thai</dc:description>
  <cp:lastModifiedBy>John Golubic</cp:lastModifiedBy>
  <cp:revision>3</cp:revision>
  <cp:lastPrinted>2020-09-06T03:19:00Z</cp:lastPrinted>
  <dcterms:created xsi:type="dcterms:W3CDTF">2020-09-07T00:24:00Z</dcterms:created>
  <dcterms:modified xsi:type="dcterms:W3CDTF">2020-09-07T00:24:00Z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