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7D3BF15F" w:rsidR="00A83F80" w:rsidRPr="00B23E06" w:rsidRDefault="00C80A32"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Vietnamese</w:t>
            </w:r>
          </w:p>
        </w:tc>
      </w:tr>
      <w:tr w:rsidR="00C80A32" w:rsidRPr="006A48A7" w14:paraId="262ED7B7" w14:textId="77777777" w:rsidTr="00BB270F">
        <w:trPr>
          <w:trHeight w:val="1208"/>
        </w:trPr>
        <w:tc>
          <w:tcPr>
            <w:tcW w:w="7343" w:type="dxa"/>
            <w:shd w:val="clear" w:color="auto" w:fill="auto"/>
            <w:vAlign w:val="center"/>
          </w:tcPr>
          <w:p w14:paraId="5265BE7A" w14:textId="2E7B60A4" w:rsidR="00C80A32" w:rsidRPr="00114677" w:rsidRDefault="00C80A32"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1"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4B9DC281" w:rsidR="00C80A32" w:rsidRPr="00BB270F" w:rsidRDefault="00BB270F" w:rsidP="006072BA">
            <w:pPr>
              <w:rPr>
                <w:rFonts w:asciiTheme="minorBidi" w:eastAsia="Arial Unicode MS" w:hAnsiTheme="minorBidi" w:cstheme="minorBidi"/>
              </w:rPr>
            </w:pPr>
            <w:r w:rsidRPr="00BB270F">
              <w:rPr>
                <w:rFonts w:asciiTheme="minorBidi" w:eastAsia="SimSun" w:hAnsiTheme="minorBidi" w:cstheme="minorBidi"/>
                <w:snapToGrid/>
                <w:lang w:val="da" w:eastAsia="en-AU"/>
              </w:rPr>
              <w:t>ACT đã chuyển sang </w:t>
            </w:r>
            <w:r w:rsidR="00E6118E">
              <w:fldChar w:fldCharType="begin"/>
            </w:r>
            <w:r w:rsidR="00E6118E">
              <w:instrText xml:space="preserve"> HYPERLINK "https://www.covid19.act.gov.au/community/canberra-recovery" </w:instrText>
            </w:r>
            <w:r w:rsidR="00E6118E">
              <w:fldChar w:fldCharType="separate"/>
            </w:r>
            <w:r w:rsidRPr="00BB270F">
              <w:rPr>
                <w:rStyle w:val="Hyperlink"/>
                <w:rFonts w:asciiTheme="minorBidi" w:eastAsia="SimSun" w:hAnsiTheme="minorBidi" w:cstheme="minorBidi"/>
                <w:snapToGrid/>
                <w:lang w:val="da" w:eastAsia="en-AU"/>
              </w:rPr>
              <w:t>Step 3.2 of Canberra’s Recovery Plan Easing of Restrictions Roadmap</w:t>
            </w:r>
            <w:r w:rsidR="00E6118E">
              <w:rPr>
                <w:rStyle w:val="Hyperlink"/>
                <w:rFonts w:asciiTheme="minorBidi" w:eastAsia="SimSun" w:hAnsiTheme="minorBidi" w:cstheme="minorBidi"/>
                <w:snapToGrid/>
                <w:lang w:val="da" w:eastAsia="en-AU"/>
              </w:rPr>
              <w:fldChar w:fldCharType="end"/>
            </w:r>
            <w:r w:rsidRPr="00BB270F">
              <w:rPr>
                <w:rFonts w:asciiTheme="minorBidi" w:eastAsia="SimSun" w:hAnsiTheme="minorBidi" w:cstheme="minorBidi"/>
                <w:snapToGrid/>
                <w:lang w:val="da" w:eastAsia="en-AU"/>
              </w:rPr>
              <w:t> </w:t>
            </w:r>
            <w:r w:rsidRPr="00BB270F">
              <w:rPr>
                <w:rFonts w:asciiTheme="minorBidi" w:eastAsia="SimSun" w:hAnsiTheme="minorBidi" w:cstheme="minorBidi"/>
                <w:b/>
                <w:bCs/>
                <w:snapToGrid/>
                <w:lang w:val="da" w:eastAsia="en-AU"/>
              </w:rPr>
              <w:t>kể từ 9 giờ sáng thứ Sáu ngày 9 tháng 10 năm 2020</w:t>
            </w:r>
            <w:r w:rsidRPr="00BB270F">
              <w:rPr>
                <w:rFonts w:asciiTheme="minorBidi" w:eastAsia="SimSun" w:hAnsiTheme="minorBidi" w:cstheme="minorBidi"/>
                <w:snapToGrid/>
                <w:lang w:val="da" w:eastAsia="en-AU"/>
              </w:rPr>
              <w:t>.</w:t>
            </w:r>
          </w:p>
        </w:tc>
      </w:tr>
      <w:tr w:rsidR="00C80A32" w:rsidRPr="006A48A7" w14:paraId="35D83665" w14:textId="77777777" w:rsidTr="00BB270F">
        <w:trPr>
          <w:trHeight w:val="560"/>
        </w:trPr>
        <w:tc>
          <w:tcPr>
            <w:tcW w:w="7343" w:type="dxa"/>
            <w:shd w:val="clear" w:color="auto" w:fill="auto"/>
            <w:vAlign w:val="center"/>
          </w:tcPr>
          <w:p w14:paraId="579FBA10" w14:textId="35FDA837" w:rsidR="00C80A32" w:rsidRPr="00C43A2E" w:rsidRDefault="00C80A32"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7E3BB609" w:rsidR="00C80A32" w:rsidRPr="00BB270F" w:rsidRDefault="00BB270F" w:rsidP="006072BA">
            <w:pPr>
              <w:rPr>
                <w:rFonts w:asciiTheme="minorBidi" w:eastAsia="Arial Unicode MS" w:hAnsiTheme="minorBidi" w:cstheme="minorBidi"/>
              </w:rPr>
            </w:pPr>
            <w:r w:rsidRPr="00BB270F">
              <w:rPr>
                <w:rFonts w:asciiTheme="minorBidi" w:eastAsia="SimSun" w:hAnsiTheme="minorBidi" w:cstheme="minorBidi"/>
                <w:b/>
                <w:bCs/>
                <w:snapToGrid/>
                <w:lang w:val="da" w:eastAsia="en-AU"/>
              </w:rPr>
              <w:t>Bản tóm tắt cấp cao về những thay đổi</w:t>
            </w:r>
          </w:p>
        </w:tc>
      </w:tr>
      <w:tr w:rsidR="00C80A32" w:rsidRPr="006A48A7" w14:paraId="3E1F0C2F" w14:textId="77777777" w:rsidTr="00715E86">
        <w:trPr>
          <w:trHeight w:val="6224"/>
        </w:trPr>
        <w:tc>
          <w:tcPr>
            <w:tcW w:w="7343" w:type="dxa"/>
            <w:shd w:val="clear" w:color="auto" w:fill="auto"/>
            <w:vAlign w:val="center"/>
          </w:tcPr>
          <w:p w14:paraId="39B8B594"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C80A32" w:rsidRPr="009E4A5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0BF61E03" w:rsidR="00C80A32" w:rsidRPr="00114677" w:rsidRDefault="00C80A32" w:rsidP="008D65BD">
            <w:pPr>
              <w:numPr>
                <w:ilvl w:val="0"/>
                <w:numId w:val="38"/>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711B962B" w14:textId="53C37C0B" w:rsidR="00BB270F" w:rsidRPr="00BB270F" w:rsidRDefault="00BB270F"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BB270F">
              <w:rPr>
                <w:rFonts w:asciiTheme="minorBidi" w:eastAsia="SimSun" w:hAnsiTheme="minorBidi" w:cstheme="minorBidi"/>
                <w:snapToGrid/>
                <w:lang w:val="da" w:eastAsia="en-AU"/>
              </w:rPr>
              <w:t>Tất cả các cuộc tụ họp có thể tăng lên thành 200 người, những khi quy tắc một người trên bốn mét vuông có thể được duy trì.</w:t>
            </w:r>
          </w:p>
          <w:p w14:paraId="76A2480D" w14:textId="0D7A86BE" w:rsidR="00BB270F" w:rsidRPr="00BB270F" w:rsidRDefault="00BB270F"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BB270F">
              <w:rPr>
                <w:rFonts w:asciiTheme="minorBidi" w:eastAsia="SimSun" w:hAnsiTheme="minorBidi" w:cstheme="minorBidi"/>
                <w:snapToGrid/>
                <w:lang w:val="da" w:eastAsia="en-AU"/>
              </w:rPr>
              <w:t>Các địa điểm phục vụ khác quy mô trung bình có tổng diện tích sử dụng từ 101 đến 200 mét vuông có thể có tối đa 50 người trong toàn bộ địa điểm (không bao gồm nhân viên).</w:t>
            </w:r>
          </w:p>
          <w:p w14:paraId="4EA0DD0B" w14:textId="1A622BF6" w:rsidR="00BB270F" w:rsidRPr="00BB270F" w:rsidRDefault="00BB270F"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BB270F">
              <w:rPr>
                <w:rFonts w:asciiTheme="minorBidi" w:eastAsia="SimSun" w:hAnsiTheme="minorBidi" w:cstheme="minorBidi"/>
                <w:snapToGrid/>
                <w:lang w:val="da" w:eastAsia="en-AU"/>
              </w:rPr>
              <w:t xml:space="preserve">Các địa điểm trong nhà, lớn, được thiết kế ngồi theo chỗ (ví dụ, Nhà hát Canberra và Llewellyn Hall) có thể tổ chức các sự kiện quản lý theo vé ngồi kín tới 50% sức chứa, tới tối đa 1.000 người, với điều kiện là họ có COVID Safe Plan (Kế hoạch An toàn về COVID) cho </w:t>
            </w:r>
            <w:r w:rsidR="00CB167B">
              <w:rPr>
                <w:rFonts w:asciiTheme="minorBidi" w:eastAsia="SimSun" w:hAnsiTheme="minorBidi" w:cstheme="minorBidi"/>
                <w:snapToGrid/>
                <w:lang w:val="da" w:eastAsia="en-AU"/>
              </w:rPr>
              <w:t>từng</w:t>
            </w:r>
            <w:r w:rsidRPr="00BB270F">
              <w:rPr>
                <w:rFonts w:asciiTheme="minorBidi" w:eastAsia="SimSun" w:hAnsiTheme="minorBidi" w:cstheme="minorBidi"/>
                <w:snapToGrid/>
                <w:lang w:val="da" w:eastAsia="en-AU"/>
              </w:rPr>
              <w:t xml:space="preserve"> sự kiện cụ thể.</w:t>
            </w:r>
          </w:p>
          <w:p w14:paraId="64A6E1DE" w14:textId="1C3F3556" w:rsidR="00BB270F" w:rsidRPr="00BB270F" w:rsidRDefault="00BB270F"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BB270F">
              <w:rPr>
                <w:rFonts w:asciiTheme="minorBidi" w:eastAsia="SimSun" w:hAnsiTheme="minorBidi" w:cstheme="minorBidi"/>
                <w:snapToGrid/>
                <w:lang w:val="da" w:eastAsia="en-AU"/>
              </w:rPr>
              <w:t>Rạp chiếu phim và các phòng chiếu phim có thể bán vé tới 50% sức chứa của mỗi phòng chiếu, tới tối đa 200 người.</w:t>
            </w:r>
          </w:p>
          <w:p w14:paraId="14A91264" w14:textId="1CC8E9FF" w:rsidR="00BB270F" w:rsidRPr="00715E86" w:rsidRDefault="00715E86"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 xml:space="preserve">Các địa điểm ngoài trời khép kín có chỗ ngồi theo tầng cố định và </w:t>
            </w:r>
            <w:r w:rsidR="00CB167B">
              <w:rPr>
                <w:rFonts w:asciiTheme="minorBidi" w:eastAsia="SimSun" w:hAnsiTheme="minorBidi" w:cstheme="minorBidi"/>
                <w:snapToGrid/>
                <w:lang w:val="da" w:eastAsia="en-AU"/>
              </w:rPr>
              <w:t xml:space="preserve">các </w:t>
            </w:r>
            <w:r w:rsidRPr="00715E86">
              <w:rPr>
                <w:rFonts w:asciiTheme="minorBidi" w:eastAsia="SimSun" w:hAnsiTheme="minorBidi" w:cstheme="minorBidi"/>
                <w:snapToGrid/>
                <w:lang w:val="da" w:eastAsia="en-AU"/>
              </w:rPr>
              <w:t>khán đài</w:t>
            </w:r>
            <w:r w:rsidR="00CB167B">
              <w:rPr>
                <w:rFonts w:asciiTheme="minorBidi" w:eastAsia="SimSun" w:hAnsiTheme="minorBidi" w:cstheme="minorBidi"/>
                <w:snapToGrid/>
                <w:lang w:val="da" w:eastAsia="en-AU"/>
              </w:rPr>
              <w:t>,</w:t>
            </w:r>
            <w:r w:rsidRPr="00715E86">
              <w:rPr>
                <w:rFonts w:asciiTheme="minorBidi" w:eastAsia="SimSun" w:hAnsiTheme="minorBidi" w:cstheme="minorBidi"/>
                <w:snapToGrid/>
                <w:lang w:val="da" w:eastAsia="en-AU"/>
              </w:rPr>
              <w:t xml:space="preserve"> có thể có tới tối đa 50% sức chứa, tới 1.000 người.</w:t>
            </w:r>
          </w:p>
          <w:p w14:paraId="45ED8419" w14:textId="77777777" w:rsidR="00D74F79" w:rsidRDefault="00715E86"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Sân vận động GIO và Manuka Oval có thể có các đám đông tới 50% sức chứa</w:t>
            </w:r>
            <w:r w:rsidR="00CB167B">
              <w:rPr>
                <w:rFonts w:asciiTheme="minorBidi" w:eastAsia="SimSun" w:hAnsiTheme="minorBidi" w:cstheme="minorBidi"/>
                <w:snapToGrid/>
                <w:lang w:val="da" w:eastAsia="en-AU"/>
              </w:rPr>
              <w:t>,</w:t>
            </w:r>
            <w:r w:rsidRPr="00715E86">
              <w:rPr>
                <w:rFonts w:asciiTheme="minorBidi" w:eastAsia="SimSun" w:hAnsiTheme="minorBidi" w:cstheme="minorBidi"/>
                <w:snapToGrid/>
                <w:lang w:val="da" w:eastAsia="en-AU"/>
              </w:rPr>
              <w:t xml:space="preserve"> với một COVID Safe Plan thích hợp được áp dụng.</w:t>
            </w:r>
          </w:p>
          <w:p w14:paraId="4160EADE" w14:textId="43F17E9C" w:rsidR="00C80A32" w:rsidRPr="00D74F79" w:rsidRDefault="00715E86" w:rsidP="008D65BD">
            <w:pPr>
              <w:numPr>
                <w:ilvl w:val="0"/>
                <w:numId w:val="38"/>
              </w:numPr>
              <w:tabs>
                <w:tab w:val="clear" w:pos="720"/>
              </w:tabs>
              <w:autoSpaceDE w:val="0"/>
              <w:autoSpaceDN w:val="0"/>
              <w:adjustRightInd w:val="0"/>
              <w:ind w:left="459"/>
              <w:rPr>
                <w:rFonts w:asciiTheme="minorBidi" w:eastAsia="SimSun" w:hAnsiTheme="minorBidi" w:cstheme="minorBidi"/>
                <w:snapToGrid/>
                <w:lang w:eastAsia="en-AU"/>
              </w:rPr>
            </w:pPr>
            <w:r w:rsidRPr="00D74F79">
              <w:rPr>
                <w:rFonts w:asciiTheme="minorBidi" w:eastAsia="SimSun" w:hAnsiTheme="minorBidi" w:cstheme="minorBidi"/>
                <w:snapToGrid/>
                <w:lang w:val="da" w:eastAsia="en-AU"/>
              </w:rPr>
              <w:t>Các doanh vụ, địa điểm và tiện ích cần phải thu thập thông tin cho việc truy tìm sự tiếp xúc</w:t>
            </w:r>
            <w:r w:rsidR="00CB167B" w:rsidRPr="00D74F79">
              <w:rPr>
                <w:rFonts w:asciiTheme="minorBidi" w:eastAsia="SimSun" w:hAnsiTheme="minorBidi" w:cstheme="minorBidi"/>
                <w:snapToGrid/>
                <w:lang w:val="da" w:eastAsia="en-AU"/>
              </w:rPr>
              <w:t>,</w:t>
            </w:r>
            <w:r w:rsidRPr="00D74F79">
              <w:rPr>
                <w:rFonts w:asciiTheme="minorBidi" w:eastAsia="SimSun" w:hAnsiTheme="minorBidi" w:cstheme="minorBidi"/>
                <w:snapToGrid/>
                <w:lang w:val="da" w:eastAsia="en-AU"/>
              </w:rPr>
              <w:t xml:space="preserve"> được mạnh mẽ khuyến khích sử dụng một phương </w:t>
            </w:r>
            <w:r w:rsidR="00CB167B" w:rsidRPr="00D74F79">
              <w:rPr>
                <w:rFonts w:asciiTheme="minorBidi" w:eastAsia="SimSun" w:hAnsiTheme="minorBidi" w:cstheme="minorBidi"/>
                <w:snapToGrid/>
                <w:lang w:val="da" w:eastAsia="en-AU"/>
              </w:rPr>
              <w:t>pháp</w:t>
            </w:r>
            <w:r w:rsidRPr="00D74F79">
              <w:rPr>
                <w:rFonts w:asciiTheme="minorBidi" w:eastAsia="SimSun" w:hAnsiTheme="minorBidi" w:cstheme="minorBidi"/>
                <w:snapToGrid/>
                <w:lang w:val="da" w:eastAsia="en-AU"/>
              </w:rPr>
              <w:t xml:space="preserve"> điện tử </w:t>
            </w:r>
            <w:r w:rsidR="00CB167B" w:rsidRPr="00D74F79">
              <w:rPr>
                <w:rFonts w:asciiTheme="minorBidi" w:eastAsia="SimSun" w:hAnsiTheme="minorBidi" w:cstheme="minorBidi"/>
                <w:snapToGrid/>
                <w:lang w:val="da" w:eastAsia="en-AU"/>
              </w:rPr>
              <w:t xml:space="preserve">nào đó </w:t>
            </w:r>
            <w:r w:rsidRPr="00D74F79">
              <w:rPr>
                <w:rFonts w:asciiTheme="minorBidi" w:eastAsia="SimSun" w:hAnsiTheme="minorBidi" w:cstheme="minorBidi"/>
                <w:snapToGrid/>
                <w:lang w:val="da" w:eastAsia="en-AU"/>
              </w:rPr>
              <w:t>để thu thập thông tin.</w:t>
            </w:r>
            <w:r w:rsidR="00C80A32" w:rsidRPr="00D74F79">
              <w:rPr>
                <w:rFonts w:asciiTheme="minorBidi" w:eastAsia="SimSun" w:hAnsiTheme="minorBidi" w:cstheme="minorBidi"/>
                <w:snapToGrid/>
                <w:lang w:eastAsia="en-AU"/>
              </w:rPr>
              <w:t xml:space="preserve"> </w:t>
            </w:r>
            <w:r w:rsidRPr="00D74F79">
              <w:rPr>
                <w:rFonts w:asciiTheme="minorBidi" w:eastAsia="SimSun" w:hAnsiTheme="minorBidi" w:cstheme="minorBidi"/>
                <w:snapToGrid/>
                <w:lang w:val="da" w:eastAsia="en-AU"/>
              </w:rPr>
              <w:t>Có </w:t>
            </w:r>
            <w:hyperlink r:id="rId13" w:history="1">
              <w:r w:rsidRPr="00D74F79">
                <w:rPr>
                  <w:rStyle w:val="Hyperlink"/>
                  <w:rFonts w:asciiTheme="minorBidi" w:eastAsia="SimSun" w:hAnsiTheme="minorBidi" w:cstheme="minorBidi"/>
                  <w:snapToGrid/>
                  <w:lang w:val="da" w:eastAsia="en-AU"/>
                </w:rPr>
                <w:t>Check In CBR app</w:t>
              </w:r>
            </w:hyperlink>
            <w:r w:rsidRPr="00D74F79">
              <w:rPr>
                <w:rFonts w:asciiTheme="minorBidi" w:eastAsia="SimSun" w:hAnsiTheme="minorBidi" w:cstheme="minorBidi"/>
                <w:snapToGrid/>
                <w:lang w:val="da" w:eastAsia="en-AU"/>
              </w:rPr>
              <w:t> miễn phí để làm tròn bổn phận được đòi hỏi này.</w:t>
            </w:r>
          </w:p>
        </w:tc>
      </w:tr>
    </w:tbl>
    <w:p w14:paraId="0F30AF4D" w14:textId="5B1BF5A5" w:rsidR="002A4525" w:rsidRDefault="002A4525" w:rsidP="006C19F5">
      <w:pPr>
        <w:ind w:left="-426"/>
        <w:rPr>
          <w:rFonts w:asciiTheme="minorBidi" w:eastAsia="Arial Unicode MS" w:hAnsiTheme="minorBidi" w:cstheme="minorBidi"/>
        </w:rPr>
      </w:pPr>
    </w:p>
    <w:p w14:paraId="5AAB9813" w14:textId="03F608A4" w:rsidR="00F76DAC" w:rsidRDefault="00F76DAC" w:rsidP="006C19F5">
      <w:pPr>
        <w:ind w:left="-426"/>
        <w:rPr>
          <w:rFonts w:asciiTheme="minorBidi" w:eastAsia="Arial Unicode MS" w:hAnsiTheme="minorBidi" w:cstheme="minorBidi"/>
        </w:rPr>
      </w:pPr>
    </w:p>
    <w:p w14:paraId="10B63919" w14:textId="39B92C6E" w:rsidR="00F76DAC" w:rsidRDefault="00F76DAC" w:rsidP="006C19F5">
      <w:pPr>
        <w:ind w:left="-426"/>
        <w:rPr>
          <w:rFonts w:asciiTheme="minorBidi" w:eastAsia="Arial Unicode MS" w:hAnsiTheme="minorBidi" w:cstheme="minorBidi"/>
        </w:rPr>
      </w:pPr>
    </w:p>
    <w:p w14:paraId="0FEA4238" w14:textId="28FB120C" w:rsidR="00F76DAC" w:rsidRDefault="00F76DAC" w:rsidP="006C19F5">
      <w:pPr>
        <w:ind w:left="-426"/>
        <w:rPr>
          <w:rFonts w:asciiTheme="minorBidi" w:eastAsia="Arial Unicode MS" w:hAnsiTheme="minorBidi" w:cstheme="minorBidi"/>
        </w:rPr>
      </w:pPr>
    </w:p>
    <w:p w14:paraId="42F01693" w14:textId="0F9ED26F"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D02162" w:rsidRPr="006A48A7" w14:paraId="3BA17EC3" w14:textId="77777777" w:rsidTr="00D02162">
        <w:trPr>
          <w:trHeight w:val="589"/>
        </w:trPr>
        <w:tc>
          <w:tcPr>
            <w:tcW w:w="7343" w:type="dxa"/>
            <w:shd w:val="clear" w:color="auto" w:fill="auto"/>
            <w:vAlign w:val="center"/>
          </w:tcPr>
          <w:p w14:paraId="5530FE7E" w14:textId="26BCB6E3" w:rsidR="00D02162" w:rsidRPr="00114677" w:rsidRDefault="00D02162"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vAlign w:val="center"/>
          </w:tcPr>
          <w:p w14:paraId="1BCDBE0A" w14:textId="06FAC145" w:rsidR="00D02162" w:rsidRPr="00715E86" w:rsidRDefault="00D02162" w:rsidP="00253EE5">
            <w:pPr>
              <w:rPr>
                <w:rFonts w:asciiTheme="minorBidi" w:eastAsia="Arial Unicode MS" w:hAnsiTheme="minorBidi" w:cstheme="minorBidi"/>
              </w:rPr>
            </w:pPr>
            <w:r w:rsidRPr="00715E86">
              <w:rPr>
                <w:rFonts w:asciiTheme="minorBidi" w:eastAsia="SimSun" w:hAnsiTheme="minorBidi" w:cstheme="minorBidi"/>
                <w:b/>
                <w:bCs/>
                <w:snapToGrid/>
                <w:lang w:val="da" w:eastAsia="en-AU"/>
              </w:rPr>
              <w:t>Những gì không thay đổi</w:t>
            </w:r>
          </w:p>
        </w:tc>
      </w:tr>
      <w:tr w:rsidR="00D02162" w:rsidRPr="006A48A7" w14:paraId="30C0E70C" w14:textId="77777777" w:rsidTr="00D02162">
        <w:trPr>
          <w:trHeight w:val="838"/>
        </w:trPr>
        <w:tc>
          <w:tcPr>
            <w:tcW w:w="7343" w:type="dxa"/>
            <w:shd w:val="clear" w:color="auto" w:fill="auto"/>
            <w:vAlign w:val="center"/>
          </w:tcPr>
          <w:p w14:paraId="3D88C5CC" w14:textId="1051F022" w:rsidR="00D02162" w:rsidRPr="00114677" w:rsidRDefault="00D02162"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vAlign w:val="center"/>
          </w:tcPr>
          <w:p w14:paraId="0AEE670F" w14:textId="5CD51BA1" w:rsidR="00D02162" w:rsidRPr="00715E86" w:rsidRDefault="00D02162" w:rsidP="00253EE5">
            <w:pPr>
              <w:rPr>
                <w:rFonts w:asciiTheme="minorBidi" w:eastAsia="Arial Unicode MS" w:hAnsiTheme="minorBidi" w:cstheme="minorBidi"/>
              </w:rPr>
            </w:pPr>
            <w:r w:rsidRPr="00715E86">
              <w:rPr>
                <w:rFonts w:asciiTheme="minorBidi" w:eastAsia="SimSun" w:hAnsiTheme="minorBidi" w:cstheme="minorBidi"/>
                <w:snapToGrid/>
                <w:lang w:val="da" w:eastAsia="en-AU"/>
              </w:rPr>
              <w:t xml:space="preserve">Tất cả các đòi hỏi trước kia theo </w:t>
            </w:r>
            <w:r w:rsidRPr="00715E86">
              <w:rPr>
                <w:rFonts w:asciiTheme="minorBidi" w:eastAsia="SimSun" w:hAnsiTheme="minorBidi" w:cstheme="minorBidi"/>
                <w:b/>
                <w:snapToGrid/>
                <w:lang w:val="da" w:eastAsia="en-AU"/>
              </w:rPr>
              <w:t>Bước 3.1</w:t>
            </w:r>
            <w:r w:rsidRPr="00715E86">
              <w:rPr>
                <w:rFonts w:asciiTheme="minorBidi" w:eastAsia="SimSun" w:hAnsiTheme="minorBidi" w:cstheme="minorBidi"/>
                <w:snapToGrid/>
                <w:lang w:val="da" w:eastAsia="en-AU"/>
              </w:rPr>
              <w:t xml:space="preserve"> tiếp tục được áp dụng, cụ thể:</w:t>
            </w:r>
          </w:p>
        </w:tc>
      </w:tr>
      <w:tr w:rsidR="00D02162" w:rsidRPr="006A48A7" w14:paraId="03C679BF" w14:textId="77777777" w:rsidTr="008D65BD">
        <w:trPr>
          <w:trHeight w:val="3657"/>
        </w:trPr>
        <w:tc>
          <w:tcPr>
            <w:tcW w:w="7343" w:type="dxa"/>
            <w:shd w:val="clear" w:color="auto" w:fill="auto"/>
            <w:vAlign w:val="center"/>
          </w:tcPr>
          <w:p w14:paraId="6D001718" w14:textId="77777777" w:rsidR="00D02162" w:rsidRPr="009E4A57" w:rsidRDefault="00D02162" w:rsidP="008D65BD">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bookmarkStart w:id="0" w:name="_GoBack"/>
            <w:bookmarkEnd w:id="0"/>
          </w:p>
          <w:p w14:paraId="3782E1DD" w14:textId="77777777" w:rsidR="00D02162" w:rsidRPr="009E4A57" w:rsidRDefault="00D02162" w:rsidP="008D65BD">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D02162" w:rsidRPr="009E4A57" w:rsidRDefault="00D02162" w:rsidP="008D65BD">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4"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D02162" w:rsidRPr="00114677" w:rsidRDefault="00D02162" w:rsidP="008D65BD">
            <w:pPr>
              <w:numPr>
                <w:ilvl w:val="0"/>
                <w:numId w:val="39"/>
              </w:numPr>
              <w:tabs>
                <w:tab w:val="clear" w:pos="720"/>
              </w:tabs>
              <w:autoSpaceDE w:val="0"/>
              <w:autoSpaceDN w:val="0"/>
              <w:adjustRightInd w:val="0"/>
              <w:ind w:left="425"/>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5"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vAlign w:val="center"/>
          </w:tcPr>
          <w:p w14:paraId="4FE8AE60" w14:textId="7691C5BA" w:rsidR="00D02162" w:rsidRPr="00715E86" w:rsidRDefault="00D02162" w:rsidP="008D65BD">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Không có giới hạn về số lần ghé thăm hộ gia đình.</w:t>
            </w:r>
          </w:p>
          <w:p w14:paraId="46581028" w14:textId="515B7365" w:rsidR="00D02162" w:rsidRPr="00715E86" w:rsidRDefault="00D02162" w:rsidP="008D65BD">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Tất cả các địa điểm, tiện ích và doanh vụ phải trưng số lượng người được cho phép, một cách rõ ràng tại lối vào của từng địa điểm và tại từng diện tích sử dụng riêng lẻ, trong trường hợp có các không gian tách riêng nhau.</w:t>
            </w:r>
          </w:p>
          <w:p w14:paraId="3BD7DCA8" w14:textId="77777777" w:rsidR="00D02162" w:rsidRDefault="00D02162" w:rsidP="008D65BD">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715E86">
              <w:rPr>
                <w:rFonts w:asciiTheme="minorBidi" w:eastAsia="SimSun" w:hAnsiTheme="minorBidi" w:cstheme="minorBidi"/>
                <w:snapToGrid/>
                <w:lang w:val="da" w:eastAsia="en-AU"/>
              </w:rPr>
              <w:t xml:space="preserve">Những địa điểm, tiện ích và doanh vụ giờ phải xây dựng và tuân theo một COVID Safety Plan </w:t>
            </w:r>
            <w:r w:rsidR="00E6118E">
              <w:fldChar w:fldCharType="begin"/>
            </w:r>
            <w:r w:rsidR="00E6118E">
              <w:instrText xml:space="preserve"> HYPERLINK "ht</w:instrText>
            </w:r>
            <w:r w:rsidR="00E6118E">
              <w:instrText xml:space="preserve">tps://www.covid19.act.gov.au/__data/assets/pdf_file/0007/1554199/PICC0016-COVID-safety-plan.pdf" </w:instrText>
            </w:r>
            <w:r w:rsidR="00E6118E">
              <w:fldChar w:fldCharType="separate"/>
            </w:r>
            <w:r w:rsidRPr="00715E86">
              <w:rPr>
                <w:rStyle w:val="Hyperlink"/>
                <w:rFonts w:asciiTheme="minorBidi" w:eastAsia="SimSun" w:hAnsiTheme="minorBidi" w:cstheme="minorBidi"/>
                <w:snapToGrid/>
                <w:lang w:val="da" w:eastAsia="en-AU"/>
              </w:rPr>
              <w:t>COVID Safety Plan</w:t>
            </w:r>
            <w:r w:rsidR="00E6118E">
              <w:rPr>
                <w:rStyle w:val="Hyperlink"/>
                <w:rFonts w:asciiTheme="minorBidi" w:eastAsia="SimSun" w:hAnsiTheme="minorBidi" w:cstheme="minorBidi"/>
                <w:snapToGrid/>
                <w:lang w:val="da" w:eastAsia="en-AU"/>
              </w:rPr>
              <w:fldChar w:fldCharType="end"/>
            </w:r>
            <w:r w:rsidRPr="00715E86">
              <w:rPr>
                <w:rStyle w:val="Hyperlink"/>
                <w:rFonts w:asciiTheme="minorBidi" w:eastAsia="SimSun" w:hAnsiTheme="minorBidi" w:cstheme="minorBidi"/>
                <w:snapToGrid/>
                <w:color w:val="auto"/>
                <w:u w:val="none"/>
                <w:lang w:val="da" w:eastAsia="en-AU"/>
              </w:rPr>
              <w:t>.</w:t>
            </w:r>
          </w:p>
          <w:p w14:paraId="15A4D737" w14:textId="6338E8D4" w:rsidR="00D02162" w:rsidRPr="00D74F79" w:rsidRDefault="00D02162" w:rsidP="008D65BD">
            <w:pPr>
              <w:numPr>
                <w:ilvl w:val="0"/>
                <w:numId w:val="39"/>
              </w:numPr>
              <w:tabs>
                <w:tab w:val="clear" w:pos="720"/>
              </w:tabs>
              <w:autoSpaceDE w:val="0"/>
              <w:autoSpaceDN w:val="0"/>
              <w:adjustRightInd w:val="0"/>
              <w:ind w:left="459"/>
              <w:rPr>
                <w:rFonts w:asciiTheme="minorBidi" w:eastAsia="SimSun" w:hAnsiTheme="minorBidi" w:cstheme="minorBidi"/>
                <w:snapToGrid/>
                <w:lang w:eastAsia="en-AU"/>
              </w:rPr>
            </w:pPr>
            <w:r w:rsidRPr="00D74F79">
              <w:rPr>
                <w:rFonts w:asciiTheme="minorBidi" w:eastAsia="SimSun" w:hAnsiTheme="minorBidi" w:cstheme="minorBidi"/>
                <w:snapToGrid/>
                <w:lang w:val="da" w:eastAsia="en-AU"/>
              </w:rPr>
              <w:t>Những khi phù hợp, các loại doanh vụ cụ thể cần phải yêu cầu và giữ thông tin liên lạc từ các khách hàng và khách thăm.</w:t>
            </w:r>
            <w:r w:rsidRPr="00D74F79">
              <w:rPr>
                <w:rFonts w:asciiTheme="minorBidi" w:eastAsia="SimSun" w:hAnsiTheme="minorBidi" w:cstheme="minorBidi"/>
                <w:snapToGrid/>
                <w:lang w:eastAsia="en-AU"/>
              </w:rPr>
              <w:t> </w:t>
            </w:r>
            <w:r w:rsidRPr="00D74F79">
              <w:rPr>
                <w:rFonts w:asciiTheme="minorBidi" w:eastAsia="SimSun" w:hAnsiTheme="minorBidi" w:cstheme="minorBidi"/>
                <w:b/>
                <w:bCs/>
                <w:snapToGrid/>
                <w:lang w:val="da" w:eastAsia="en-AU"/>
              </w:rPr>
              <w:t>Thu thập bằng phương pháp điện tử được ưa chuộng hơn.</w:t>
            </w:r>
            <w:r w:rsidRPr="00D74F79">
              <w:rPr>
                <w:rFonts w:asciiTheme="minorBidi" w:eastAsia="SimSun" w:hAnsiTheme="minorBidi" w:cstheme="minorBidi"/>
                <w:snapToGrid/>
                <w:lang w:eastAsia="en-AU"/>
              </w:rPr>
              <w:t> </w:t>
            </w:r>
            <w:r w:rsidRPr="00D74F79">
              <w:rPr>
                <w:rFonts w:asciiTheme="minorBidi" w:eastAsia="SimSun" w:hAnsiTheme="minorBidi" w:cstheme="minorBidi"/>
                <w:snapToGrid/>
                <w:lang w:val="da" w:eastAsia="en-AU"/>
              </w:rPr>
              <w:t>Có </w:t>
            </w:r>
            <w:r w:rsidR="00E6118E">
              <w:fldChar w:fldCharType="begin"/>
            </w:r>
            <w:r w:rsidR="00E6118E">
              <w:instrText xml:space="preserve"> HYPERLINK "https://www.covid19.act.gov.au/business-and-work/check-in-cbr" </w:instrText>
            </w:r>
            <w:r w:rsidR="00E6118E">
              <w:fldChar w:fldCharType="separate"/>
            </w:r>
            <w:r w:rsidRPr="00D74F79">
              <w:rPr>
                <w:rStyle w:val="Hyperlink"/>
                <w:rFonts w:asciiTheme="minorBidi" w:eastAsia="SimSun" w:hAnsiTheme="minorBidi" w:cstheme="minorBidi"/>
                <w:snapToGrid/>
                <w:lang w:val="da" w:eastAsia="en-AU"/>
              </w:rPr>
              <w:t>Check In CBR app</w:t>
            </w:r>
            <w:r w:rsidR="00E6118E">
              <w:rPr>
                <w:rStyle w:val="Hyperlink"/>
                <w:rFonts w:asciiTheme="minorBidi" w:eastAsia="SimSun" w:hAnsiTheme="minorBidi" w:cstheme="minorBidi"/>
                <w:snapToGrid/>
                <w:lang w:val="da" w:eastAsia="en-AU"/>
              </w:rPr>
              <w:fldChar w:fldCharType="end"/>
            </w:r>
            <w:r w:rsidRPr="00D74F79">
              <w:rPr>
                <w:rStyle w:val="Hyperlink"/>
                <w:rFonts w:asciiTheme="minorBidi" w:eastAsia="SimSun" w:hAnsiTheme="minorBidi" w:cstheme="minorBidi"/>
                <w:snapToGrid/>
                <w:color w:val="auto"/>
                <w:u w:val="none"/>
                <w:lang w:val="da" w:eastAsia="en-AU"/>
              </w:rPr>
              <w:t> miễn phí để làm tròn bổn phận được đòi hỏi này.</w:t>
            </w:r>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51758161" w:rsidR="00C85493" w:rsidRDefault="00C8549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p w14:paraId="0347050A" w14:textId="56990FCC" w:rsidR="00C85493" w:rsidRDefault="00C85493" w:rsidP="006C19F5">
      <w:pPr>
        <w:ind w:left="-426"/>
        <w:rPr>
          <w:rFonts w:asciiTheme="minorBidi" w:eastAsia="Arial Unicode MS" w:hAnsiTheme="minorBidi" w:cstheme="minorBidi"/>
        </w:rPr>
      </w:pPr>
    </w:p>
    <w:p w14:paraId="48FFE3AC" w14:textId="1BCE10CF" w:rsidR="00C85493" w:rsidRDefault="00C85493" w:rsidP="006C19F5">
      <w:pPr>
        <w:ind w:left="-426"/>
        <w:rPr>
          <w:rFonts w:asciiTheme="minorBidi" w:eastAsia="Arial Unicode MS" w:hAnsiTheme="minorBidi" w:cstheme="minorBidi"/>
        </w:rPr>
      </w:pPr>
    </w:p>
    <w:p w14:paraId="4B678813" w14:textId="5DDC278D" w:rsidR="00C85493" w:rsidRDefault="00C85493" w:rsidP="006C19F5">
      <w:pPr>
        <w:ind w:left="-426"/>
        <w:rPr>
          <w:rFonts w:asciiTheme="minorBidi" w:eastAsia="Arial Unicode MS" w:hAnsiTheme="minorBidi" w:cstheme="minorBidi"/>
        </w:rPr>
      </w:pPr>
    </w:p>
    <w:p w14:paraId="61E64694" w14:textId="77777777" w:rsidR="00C85493" w:rsidRDefault="00C85493" w:rsidP="006C19F5">
      <w:pPr>
        <w:ind w:left="-426"/>
        <w:rPr>
          <w:rFonts w:asciiTheme="minorBidi" w:eastAsia="Arial Unicode MS" w:hAnsiTheme="minorBidi" w:cstheme="minorBidi"/>
        </w:rPr>
      </w:pPr>
    </w:p>
    <w:p w14:paraId="5923D774" w14:textId="4F0D601F" w:rsidR="00F76DAC" w:rsidRDefault="00F76DAC" w:rsidP="006C19F5">
      <w:pPr>
        <w:ind w:left="-426"/>
        <w:rPr>
          <w:rFonts w:asciiTheme="minorBidi" w:eastAsia="Arial Unicode MS" w:hAnsiTheme="minorBidi" w:cstheme="minorBidi"/>
        </w:rPr>
      </w:pPr>
    </w:p>
    <w:p w14:paraId="4F2D5D14" w14:textId="1A589D9D"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D02162" w:rsidRPr="006A48A7" w14:paraId="69B63F1B" w14:textId="77777777" w:rsidTr="00D02162">
        <w:trPr>
          <w:trHeight w:val="595"/>
        </w:trPr>
        <w:tc>
          <w:tcPr>
            <w:tcW w:w="7343" w:type="dxa"/>
            <w:shd w:val="clear" w:color="auto" w:fill="auto"/>
            <w:vAlign w:val="center"/>
          </w:tcPr>
          <w:p w14:paraId="32BFB8C4" w14:textId="08428888" w:rsidR="00D02162" w:rsidRPr="00114677" w:rsidRDefault="00D02162"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655" w:type="dxa"/>
            <w:vAlign w:val="center"/>
          </w:tcPr>
          <w:p w14:paraId="44917E3E" w14:textId="111DF463" w:rsidR="00D02162" w:rsidRPr="00D74F79" w:rsidRDefault="00D02162" w:rsidP="00253EE5">
            <w:pPr>
              <w:rPr>
                <w:rFonts w:asciiTheme="minorBidi" w:eastAsia="Arial Unicode MS" w:hAnsiTheme="minorBidi" w:cstheme="minorBidi"/>
              </w:rPr>
            </w:pPr>
            <w:r w:rsidRPr="00D74F79">
              <w:rPr>
                <w:rFonts w:asciiTheme="minorBidi" w:eastAsia="SimSun" w:hAnsiTheme="minorBidi" w:cstheme="minorBidi"/>
                <w:b/>
                <w:bCs/>
                <w:snapToGrid/>
                <w:lang w:val="da" w:eastAsia="en-AU"/>
              </w:rPr>
              <w:t>Tất cả chúng ta cần phải tiếp tục có trách nhiệm</w:t>
            </w:r>
          </w:p>
        </w:tc>
      </w:tr>
      <w:tr w:rsidR="00D02162" w:rsidRPr="006A48A7" w14:paraId="6F69B9B6" w14:textId="77777777" w:rsidTr="008D65BD">
        <w:trPr>
          <w:trHeight w:val="1100"/>
        </w:trPr>
        <w:tc>
          <w:tcPr>
            <w:tcW w:w="7343" w:type="dxa"/>
            <w:shd w:val="clear" w:color="auto" w:fill="auto"/>
            <w:vAlign w:val="center"/>
          </w:tcPr>
          <w:p w14:paraId="0F9FD6D0" w14:textId="32E75786" w:rsidR="00D02162" w:rsidRPr="00114677" w:rsidRDefault="00D02162"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vAlign w:val="center"/>
          </w:tcPr>
          <w:p w14:paraId="7D4FA87F" w14:textId="45353635" w:rsidR="00D02162" w:rsidRPr="00D74F79" w:rsidRDefault="00D02162" w:rsidP="00253EE5">
            <w:pPr>
              <w:rPr>
                <w:rFonts w:asciiTheme="minorBidi" w:eastAsia="Arial Unicode MS" w:hAnsiTheme="minorBidi" w:cstheme="minorBidi"/>
              </w:rPr>
            </w:pPr>
            <w:r w:rsidRPr="00D74F79">
              <w:rPr>
                <w:rFonts w:asciiTheme="minorBidi" w:eastAsia="SimSun" w:hAnsiTheme="minorBidi" w:cstheme="minorBidi"/>
                <w:snapToGrid/>
                <w:lang w:val="da" w:eastAsia="en-AU"/>
              </w:rPr>
              <w:t>Những quy định theo các Public Health Directions (Chỉ thị về Y tế Công cộng) không chỉ là trách nhiệm của các doanh vụ - mà những quy định này mở rộng đến tất cả Canberrans (Người dân Canberra).</w:t>
            </w:r>
          </w:p>
        </w:tc>
      </w:tr>
      <w:tr w:rsidR="00D02162" w:rsidRPr="006A48A7" w14:paraId="089DDEE6" w14:textId="77777777" w:rsidTr="008D65BD">
        <w:trPr>
          <w:trHeight w:val="1397"/>
        </w:trPr>
        <w:tc>
          <w:tcPr>
            <w:tcW w:w="7343" w:type="dxa"/>
            <w:shd w:val="clear" w:color="auto" w:fill="auto"/>
            <w:vAlign w:val="center"/>
          </w:tcPr>
          <w:p w14:paraId="220A0326" w14:textId="0C594C02" w:rsidR="00D02162" w:rsidRPr="00114677" w:rsidRDefault="00D02162"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vAlign w:val="center"/>
          </w:tcPr>
          <w:p w14:paraId="42853F82" w14:textId="719F0CCD" w:rsidR="00D02162" w:rsidRPr="00D74F79" w:rsidRDefault="00D02162" w:rsidP="00253EE5">
            <w:pPr>
              <w:rPr>
                <w:rFonts w:asciiTheme="minorBidi" w:eastAsia="Arial Unicode MS" w:hAnsiTheme="minorBidi" w:cstheme="minorBidi"/>
              </w:rPr>
            </w:pPr>
            <w:r w:rsidRPr="00D74F79">
              <w:rPr>
                <w:rFonts w:asciiTheme="minorBidi" w:eastAsia="SimSun" w:hAnsiTheme="minorBidi" w:cstheme="minorBidi"/>
                <w:snapToGrid/>
                <w:lang w:val="da" w:eastAsia="en-AU"/>
              </w:rPr>
              <w:t>Tất cả chúng ta phải hiểu biết khi có những người khác đến cư gia của mình và có các biện pháp kiểm soát của chính mình được áp dụng.</w:t>
            </w:r>
            <w:r w:rsidRPr="00D74F79">
              <w:rPr>
                <w:rFonts w:asciiTheme="minorBidi" w:eastAsia="SimSun" w:hAnsiTheme="minorBidi" w:cstheme="minorBidi"/>
                <w:snapToGrid/>
                <w:lang w:eastAsia="en-AU"/>
              </w:rPr>
              <w:t xml:space="preserve"> </w:t>
            </w:r>
            <w:r w:rsidRPr="00D74F79">
              <w:rPr>
                <w:rFonts w:asciiTheme="minorBidi" w:eastAsia="SimSun" w:hAnsiTheme="minorBidi" w:cstheme="minorBidi"/>
                <w:snapToGrid/>
                <w:lang w:val="da" w:eastAsia="en-AU"/>
              </w:rPr>
              <w:t>Đây bao gồm việc biết những ai có mặt ở đó và vào những giờ giấc nào, và tải xuống ứng dụng COVIDSafe.</w:t>
            </w:r>
          </w:p>
        </w:tc>
      </w:tr>
      <w:tr w:rsidR="00D02162" w:rsidRPr="006A48A7" w14:paraId="1E3BF5DA" w14:textId="77777777" w:rsidTr="00D02162">
        <w:trPr>
          <w:trHeight w:val="1423"/>
        </w:trPr>
        <w:tc>
          <w:tcPr>
            <w:tcW w:w="7343" w:type="dxa"/>
            <w:shd w:val="clear" w:color="auto" w:fill="auto"/>
            <w:vAlign w:val="center"/>
          </w:tcPr>
          <w:p w14:paraId="2B7CE051" w14:textId="73254B27" w:rsidR="00D02162" w:rsidRPr="00114677" w:rsidRDefault="00D02162"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vAlign w:val="center"/>
          </w:tcPr>
          <w:p w14:paraId="5EC9E79F" w14:textId="7DBB0E87" w:rsidR="00D02162" w:rsidRPr="00D74F79" w:rsidRDefault="00D02162" w:rsidP="00253EE5">
            <w:pPr>
              <w:rPr>
                <w:rFonts w:asciiTheme="minorBidi" w:eastAsia="Arial Unicode MS" w:hAnsiTheme="minorBidi" w:cstheme="minorBidi"/>
              </w:rPr>
            </w:pPr>
            <w:r w:rsidRPr="00D74F79">
              <w:rPr>
                <w:rFonts w:asciiTheme="minorBidi" w:eastAsia="SimSun" w:hAnsiTheme="minorBidi" w:cstheme="minorBidi"/>
                <w:snapToGrid/>
                <w:lang w:val="da" w:eastAsia="en-AU"/>
              </w:rPr>
              <w:t>Điều quan trọng là chúng phải duy trì các tuyến phòng vệ tốt nhất của mình chống lại dịch bệnh, bằng việc giãn cách vật lý, giữ gìn vệ sinh tay và hô hấp, ở nhà nếu không khỏe và thực hiện xét nghiệm nếu quý vị có các triệu chứng.</w:t>
            </w:r>
          </w:p>
        </w:tc>
      </w:tr>
      <w:tr w:rsidR="00D02162" w:rsidRPr="006A48A7" w14:paraId="049F1438" w14:textId="77777777" w:rsidTr="008D65BD">
        <w:trPr>
          <w:trHeight w:val="1099"/>
        </w:trPr>
        <w:tc>
          <w:tcPr>
            <w:tcW w:w="7343" w:type="dxa"/>
            <w:shd w:val="clear" w:color="auto" w:fill="auto"/>
            <w:vAlign w:val="center"/>
          </w:tcPr>
          <w:p w14:paraId="7D537A31" w14:textId="19FAF564" w:rsidR="00D02162" w:rsidRPr="00114677" w:rsidRDefault="00D02162"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vAlign w:val="center"/>
          </w:tcPr>
          <w:p w14:paraId="3F33123D" w14:textId="0C294D34" w:rsidR="00D02162" w:rsidRPr="00D74F79" w:rsidRDefault="00D02162" w:rsidP="00253EE5">
            <w:pPr>
              <w:rPr>
                <w:rFonts w:asciiTheme="minorBidi" w:eastAsia="Arial Unicode MS" w:hAnsiTheme="minorBidi" w:cstheme="minorBidi"/>
              </w:rPr>
            </w:pPr>
            <w:r w:rsidRPr="00D74F79">
              <w:rPr>
                <w:rFonts w:asciiTheme="minorBidi" w:eastAsia="SimSun" w:hAnsiTheme="minorBidi" w:cstheme="minorBidi"/>
                <w:snapToGrid/>
                <w:lang w:val="da" w:eastAsia="en-AU"/>
              </w:rPr>
              <w:t>Những nguyên tắc này không thay đổi và là cách tốt nhất để giữ cho cộng đồng của chúng ta được an toàn và ngăn chặn COVID-19 lây lan.</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15E86"/>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8D65BD"/>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471BC"/>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650"/>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270F"/>
    <w:rsid w:val="00BB6643"/>
    <w:rsid w:val="00BC1612"/>
    <w:rsid w:val="00BF01B7"/>
    <w:rsid w:val="00BF3328"/>
    <w:rsid w:val="00C13009"/>
    <w:rsid w:val="00C22947"/>
    <w:rsid w:val="00C22E65"/>
    <w:rsid w:val="00C34D5E"/>
    <w:rsid w:val="00C43A2E"/>
    <w:rsid w:val="00C53213"/>
    <w:rsid w:val="00C64CBF"/>
    <w:rsid w:val="00C72357"/>
    <w:rsid w:val="00C8021B"/>
    <w:rsid w:val="00C80A32"/>
    <w:rsid w:val="00C82FD5"/>
    <w:rsid w:val="00C85493"/>
    <w:rsid w:val="00CA1F1F"/>
    <w:rsid w:val="00CB167B"/>
    <w:rsid w:val="00CB7FAF"/>
    <w:rsid w:val="00CC3825"/>
    <w:rsid w:val="00CC4DBD"/>
    <w:rsid w:val="00CD2098"/>
    <w:rsid w:val="00CD2D3A"/>
    <w:rsid w:val="00CD54D6"/>
    <w:rsid w:val="00D02162"/>
    <w:rsid w:val="00D16524"/>
    <w:rsid w:val="00D218E9"/>
    <w:rsid w:val="00D25069"/>
    <w:rsid w:val="00D43458"/>
    <w:rsid w:val="00D43EAE"/>
    <w:rsid w:val="00D45ADC"/>
    <w:rsid w:val="00D52F5A"/>
    <w:rsid w:val="00D70292"/>
    <w:rsid w:val="00D74F79"/>
    <w:rsid w:val="00D87EE9"/>
    <w:rsid w:val="00DA6A50"/>
    <w:rsid w:val="00DA7A1C"/>
    <w:rsid w:val="00DD71B0"/>
    <w:rsid w:val="00DE3D7B"/>
    <w:rsid w:val="00DF6410"/>
    <w:rsid w:val="00E120BF"/>
    <w:rsid w:val="00E127EB"/>
    <w:rsid w:val="00E6118E"/>
    <w:rsid w:val="00E67AB2"/>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E131AE5"/>
  <w15:docId w15:val="{6294705F-DBEC-402B-8579-DD77F032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Translatable">
    <w:name w:val="Translatable"/>
    <w:basedOn w:val="DefaultParagraphFont"/>
    <w:rsid w:val="00BB270F"/>
    <w:rPr>
      <w:rFonts w:asciiTheme="minorBidi" w:eastAsia="SimSun" w:hAnsiTheme="minorBidi" w:cstheme="minorBidi"/>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act.gov.au/business-and-work/check-in-c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act.gov.au/community/canberra-recovery" TargetMode="External"/><Relationship Id="rId5" Type="http://schemas.openxmlformats.org/officeDocument/2006/relationships/numbering" Target="numbering.xml"/><Relationship Id="rId15" Type="http://schemas.openxmlformats.org/officeDocument/2006/relationships/hyperlink" Target="https://www.covid19.act.gov.au/business-and-work/check-in-c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__data/assets/pdf_file/0007/1554199/PICC0016-COVID-safety-p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3770d53c-bd17-423a-a432-f972ff08ea17"/>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34958884-07a2-4c1b-89fa-6f12bc62ed52"/>
    <ds:schemaRef ds:uri="http://schemas.microsoft.com/office/infopath/2007/PartnerControls"/>
  </ds:schemaRefs>
</ds:datastoreItem>
</file>

<file path=customXml/itemProps4.xml><?xml version="1.0" encoding="utf-8"?>
<ds:datastoreItem xmlns:ds="http://schemas.openxmlformats.org/officeDocument/2006/customXml" ds:itemID="{5EEB7480-D3FA-4269-8B37-CCBCD957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6133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Vietnamese</dc:description>
  <cp:lastModifiedBy>John Golubic</cp:lastModifiedBy>
  <cp:revision>3</cp:revision>
  <cp:lastPrinted>2020-07-28T00:19:00Z</cp:lastPrinted>
  <dcterms:created xsi:type="dcterms:W3CDTF">2020-10-09T03:39:00Z</dcterms:created>
  <dcterms:modified xsi:type="dcterms:W3CDTF">2020-10-09T03:39:00Z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