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4E6FF6" w:rsidRPr="00233844" w14:paraId="07127E4D" w14:textId="77777777" w:rsidTr="0072789E">
        <w:trPr>
          <w:trHeight w:val="474"/>
        </w:trPr>
        <w:tc>
          <w:tcPr>
            <w:tcW w:w="7343" w:type="dxa"/>
            <w:shd w:val="clear" w:color="auto" w:fill="17365D"/>
            <w:vAlign w:val="center"/>
          </w:tcPr>
          <w:p w14:paraId="2B316C36" w14:textId="77777777" w:rsidR="004E6FF6" w:rsidRPr="00F2489B" w:rsidRDefault="004E6FF6" w:rsidP="0072789E">
            <w:pPr>
              <w:rPr>
                <w:rFonts w:asciiTheme="minorBidi" w:eastAsia="Arial Unicode MS" w:hAnsiTheme="minorBidi" w:cstheme="minorBidi"/>
                <w:color w:val="FFFFFF" w:themeColor="background1"/>
                <w:sz w:val="28"/>
                <w:szCs w:val="28"/>
              </w:rPr>
            </w:pPr>
            <w:r w:rsidRPr="00F2489B">
              <w:rPr>
                <w:rFonts w:asciiTheme="minorBidi" w:eastAsia="Arial Unicode MS" w:hAnsiTheme="minorBidi" w:cstheme="minorBidi"/>
                <w:color w:val="FFFFFF" w:themeColor="background1"/>
                <w:sz w:val="28"/>
                <w:szCs w:val="28"/>
              </w:rPr>
              <w:t>English</w:t>
            </w:r>
          </w:p>
        </w:tc>
        <w:tc>
          <w:tcPr>
            <w:tcW w:w="7655" w:type="dxa"/>
            <w:shd w:val="clear" w:color="auto" w:fill="17365D"/>
            <w:vAlign w:val="center"/>
          </w:tcPr>
          <w:p w14:paraId="22112704" w14:textId="77777777" w:rsidR="004E6FF6" w:rsidRPr="00F2489B" w:rsidRDefault="004E6FF6" w:rsidP="0072789E">
            <w:pPr>
              <w:rPr>
                <w:rFonts w:asciiTheme="minorBidi" w:hAnsiTheme="minorBidi" w:cstheme="minorBidi"/>
                <w:sz w:val="28"/>
                <w:szCs w:val="28"/>
              </w:rPr>
            </w:pPr>
            <w:r w:rsidRPr="00F2489B">
              <w:rPr>
                <w:rFonts w:asciiTheme="minorBidi" w:hAnsiTheme="minorBidi" w:cstheme="minorBidi"/>
                <w:sz w:val="28"/>
                <w:szCs w:val="28"/>
              </w:rPr>
              <w:t>Spanish</w:t>
            </w:r>
          </w:p>
        </w:tc>
      </w:tr>
      <w:tr w:rsidR="004E6FF6" w:rsidRPr="00181132" w14:paraId="00BC247D" w14:textId="77777777" w:rsidTr="00181132">
        <w:trPr>
          <w:trHeight w:val="1053"/>
        </w:trPr>
        <w:tc>
          <w:tcPr>
            <w:tcW w:w="7343" w:type="dxa"/>
            <w:shd w:val="clear" w:color="auto" w:fill="auto"/>
            <w:vAlign w:val="center"/>
          </w:tcPr>
          <w:p w14:paraId="6B840C23" w14:textId="77777777" w:rsidR="004E6FF6" w:rsidRPr="00F2489B" w:rsidRDefault="004E6FF6" w:rsidP="0072789E">
            <w:pPr>
              <w:autoSpaceDE w:val="0"/>
              <w:autoSpaceDN w:val="0"/>
              <w:adjustRightInd w:val="0"/>
              <w:ind w:left="22"/>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The ACT moved to </w:t>
            </w:r>
            <w:hyperlink r:id="rId10" w:history="1">
              <w:r w:rsidRPr="00F2489B">
                <w:rPr>
                  <w:rStyle w:val="Hyperlink"/>
                  <w:rFonts w:asciiTheme="minorBidi" w:eastAsia="SimSun" w:hAnsiTheme="minorBidi" w:cstheme="minorBidi"/>
                  <w:snapToGrid/>
                  <w:lang w:eastAsia="en-AU"/>
                </w:rPr>
                <w:t>Step 3.2 of Canberra’s Recovery Plan Easing of Restrictions Roadmap</w:t>
              </w:r>
            </w:hyperlink>
            <w:r w:rsidRPr="00F2489B">
              <w:rPr>
                <w:rFonts w:asciiTheme="minorBidi" w:eastAsia="SimSun" w:hAnsiTheme="minorBidi" w:cstheme="minorBidi"/>
                <w:snapToGrid/>
                <w:lang w:eastAsia="en-AU"/>
              </w:rPr>
              <w:t> </w:t>
            </w:r>
            <w:r w:rsidRPr="00F2489B">
              <w:rPr>
                <w:rFonts w:asciiTheme="minorBidi" w:eastAsia="SimSun" w:hAnsiTheme="minorBidi" w:cstheme="minorBidi"/>
                <w:b/>
                <w:bCs/>
                <w:snapToGrid/>
                <w:lang w:eastAsia="en-AU"/>
              </w:rPr>
              <w:t>9am on Friday 9 October 2020</w:t>
            </w:r>
            <w:r w:rsidRPr="00F2489B">
              <w:rPr>
                <w:rFonts w:asciiTheme="minorBidi" w:eastAsia="SimSun" w:hAnsiTheme="minorBidi" w:cstheme="minorBidi"/>
                <w:snapToGrid/>
                <w:lang w:eastAsia="en-AU"/>
              </w:rPr>
              <w:t>.</w:t>
            </w:r>
          </w:p>
        </w:tc>
        <w:tc>
          <w:tcPr>
            <w:tcW w:w="7655" w:type="dxa"/>
            <w:shd w:val="clear" w:color="auto" w:fill="auto"/>
            <w:vAlign w:val="center"/>
          </w:tcPr>
          <w:p w14:paraId="43D29573" w14:textId="43E63318" w:rsidR="004E6FF6" w:rsidRPr="00F2489B" w:rsidRDefault="004E6FF6" w:rsidP="00F2489B">
            <w:pPr>
              <w:rPr>
                <w:rFonts w:asciiTheme="minorBidi" w:eastAsia="Arial Unicode MS" w:hAnsiTheme="minorBidi" w:cstheme="minorBidi"/>
                <w:lang w:val="es-ES"/>
              </w:rPr>
            </w:pPr>
            <w:r w:rsidRPr="00F2489B">
              <w:rPr>
                <w:rFonts w:asciiTheme="minorBidi" w:eastAsia="SimSun" w:hAnsiTheme="minorBidi" w:cstheme="minorBidi"/>
                <w:snapToGrid/>
                <w:lang w:val="es-ES" w:eastAsia="en-AU"/>
              </w:rPr>
              <w:t xml:space="preserve">El ACT inició el </w:t>
            </w:r>
            <w:hyperlink r:id="rId11" w:history="1">
              <w:r w:rsidRPr="00F2489B">
                <w:rPr>
                  <w:rStyle w:val="Hyperlink"/>
                  <w:rFonts w:asciiTheme="minorBidi" w:eastAsia="SimSun" w:hAnsiTheme="minorBidi" w:cstheme="minorBidi"/>
                  <w:snapToGrid/>
                  <w:lang w:val="es-ES" w:eastAsia="en-AU"/>
                </w:rPr>
                <w:t xml:space="preserve">Paso 3.2 de la Hoja de ruta de Reducción de restricciones del Plan de recuperación de Canberra </w:t>
              </w:r>
            </w:hyperlink>
            <w:r w:rsidRPr="00F2489B">
              <w:rPr>
                <w:rFonts w:asciiTheme="minorBidi" w:eastAsia="SimSun" w:hAnsiTheme="minorBidi" w:cstheme="minorBidi"/>
                <w:b/>
                <w:bCs/>
                <w:snapToGrid/>
                <w:lang w:val="es-ES" w:eastAsia="en-AU"/>
              </w:rPr>
              <w:t>a las 9 de la mañana del viernes 9 de octubre de 2020</w:t>
            </w:r>
            <w:r w:rsidRPr="00F2489B">
              <w:rPr>
                <w:rFonts w:asciiTheme="minorBidi" w:eastAsia="SimSun" w:hAnsiTheme="minorBidi" w:cstheme="minorBidi"/>
                <w:snapToGrid/>
                <w:lang w:val="es-ES" w:eastAsia="en-AU"/>
              </w:rPr>
              <w:t>.</w:t>
            </w:r>
          </w:p>
        </w:tc>
      </w:tr>
      <w:tr w:rsidR="004E6FF6" w:rsidRPr="00181132" w14:paraId="329BF715" w14:textId="77777777" w:rsidTr="0072789E">
        <w:trPr>
          <w:trHeight w:val="560"/>
        </w:trPr>
        <w:tc>
          <w:tcPr>
            <w:tcW w:w="7343" w:type="dxa"/>
            <w:shd w:val="clear" w:color="auto" w:fill="auto"/>
            <w:vAlign w:val="center"/>
          </w:tcPr>
          <w:p w14:paraId="4CD07C5E" w14:textId="77777777" w:rsidR="004E6FF6" w:rsidRPr="00F2489B" w:rsidRDefault="004E6FF6" w:rsidP="0072789E">
            <w:pPr>
              <w:autoSpaceDE w:val="0"/>
              <w:autoSpaceDN w:val="0"/>
              <w:adjustRightInd w:val="0"/>
              <w:ind w:left="22"/>
              <w:rPr>
                <w:rFonts w:asciiTheme="minorBidi" w:eastAsia="SimSun" w:hAnsiTheme="minorBidi" w:cstheme="minorBidi"/>
                <w:b/>
                <w:bCs/>
                <w:snapToGrid/>
                <w:lang w:eastAsia="en-AU"/>
              </w:rPr>
            </w:pPr>
            <w:r w:rsidRPr="00F2489B">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753FFB63" w14:textId="44852B98" w:rsidR="004E6FF6" w:rsidRPr="00F2489B" w:rsidRDefault="004E6FF6" w:rsidP="0072789E">
            <w:pPr>
              <w:rPr>
                <w:rFonts w:asciiTheme="minorBidi" w:eastAsia="SimSun" w:hAnsiTheme="minorBidi" w:cstheme="minorBidi"/>
                <w:b/>
                <w:bCs/>
                <w:snapToGrid/>
                <w:lang w:val="es-ES" w:eastAsia="en-AU"/>
              </w:rPr>
            </w:pPr>
            <w:r w:rsidRPr="00F2489B">
              <w:rPr>
                <w:rFonts w:asciiTheme="minorBidi" w:eastAsia="SimSun" w:hAnsiTheme="minorBidi" w:cstheme="minorBidi"/>
                <w:b/>
                <w:bCs/>
                <w:snapToGrid/>
                <w:lang w:val="es-ES" w:eastAsia="en-AU"/>
              </w:rPr>
              <w:t xml:space="preserve">Resumen de </w:t>
            </w:r>
            <w:r w:rsidR="00F2489B" w:rsidRPr="00F2489B">
              <w:rPr>
                <w:rFonts w:asciiTheme="minorBidi" w:eastAsia="SimSun" w:hAnsiTheme="minorBidi" w:cstheme="minorBidi"/>
                <w:b/>
                <w:bCs/>
                <w:snapToGrid/>
                <w:lang w:val="es-ES" w:eastAsia="en-AU"/>
              </w:rPr>
              <w:t xml:space="preserve">los </w:t>
            </w:r>
            <w:r w:rsidRPr="00F2489B">
              <w:rPr>
                <w:rFonts w:asciiTheme="minorBidi" w:eastAsia="SimSun" w:hAnsiTheme="minorBidi" w:cstheme="minorBidi"/>
                <w:b/>
                <w:bCs/>
                <w:snapToGrid/>
                <w:lang w:val="es-ES" w:eastAsia="en-AU"/>
              </w:rPr>
              <w:t>cambios principales</w:t>
            </w:r>
          </w:p>
        </w:tc>
      </w:tr>
      <w:tr w:rsidR="004E6FF6" w:rsidRPr="00181132" w14:paraId="2DCFF068" w14:textId="77777777" w:rsidTr="00181132">
        <w:trPr>
          <w:trHeight w:val="6942"/>
        </w:trPr>
        <w:tc>
          <w:tcPr>
            <w:tcW w:w="7343" w:type="dxa"/>
            <w:shd w:val="clear" w:color="auto" w:fill="auto"/>
            <w:vAlign w:val="center"/>
          </w:tcPr>
          <w:p w14:paraId="2462ACAF" w14:textId="77777777" w:rsidR="004E6FF6" w:rsidRPr="00F2489B" w:rsidRDefault="004E6FF6" w:rsidP="00181132">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All gatherings can increase to 200 people, where one person per four square meters can be maintained.</w:t>
            </w:r>
          </w:p>
          <w:p w14:paraId="7887770F" w14:textId="77777777" w:rsidR="004E6FF6" w:rsidRPr="00F2489B" w:rsidRDefault="004E6FF6" w:rsidP="00181132">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7FEF7135" w14:textId="77777777" w:rsidR="004E6FF6" w:rsidRPr="00F2489B" w:rsidRDefault="004E6FF6" w:rsidP="00181132">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1FD6FAB6" w14:textId="77777777" w:rsidR="004E6FF6" w:rsidRPr="00F2489B" w:rsidRDefault="004E6FF6" w:rsidP="00181132">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Cinemas and movie theatres can sell up to 50% capacity of each theatre, up to 200 people.</w:t>
            </w:r>
          </w:p>
          <w:p w14:paraId="155CE6B8" w14:textId="77777777" w:rsidR="004E6FF6" w:rsidRPr="00F2489B" w:rsidRDefault="004E6FF6" w:rsidP="00181132">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Enclosed outdoor venues with permanent tiered seating and grandstands can have up to 50% capacity, up to 1,000 people.</w:t>
            </w:r>
          </w:p>
          <w:p w14:paraId="280BE914" w14:textId="77777777" w:rsidR="004E6FF6" w:rsidRPr="00F2489B" w:rsidRDefault="004E6FF6" w:rsidP="00181132">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GIO Stadium and Manuka Oval can have crowds up to 50% capacity with an appropriate COVID Safe Plan in place.</w:t>
            </w:r>
          </w:p>
          <w:p w14:paraId="6BF95BA3" w14:textId="77777777" w:rsidR="004E6FF6" w:rsidRPr="00F2489B" w:rsidRDefault="004E6FF6" w:rsidP="00181132">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2" w:history="1">
              <w:r w:rsidRPr="00F2489B">
                <w:rPr>
                  <w:rStyle w:val="Hyperlink"/>
                  <w:rFonts w:asciiTheme="minorBidi" w:eastAsia="SimSun" w:hAnsiTheme="minorBidi" w:cstheme="minorBidi"/>
                  <w:snapToGrid/>
                  <w:lang w:eastAsia="en-AU"/>
                </w:rPr>
                <w:t>Check In CBR app</w:t>
              </w:r>
            </w:hyperlink>
            <w:r w:rsidRPr="00F2489B">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583D5EF8" w14:textId="77777777" w:rsidR="004E6FF6" w:rsidRPr="00F2489B" w:rsidRDefault="004E6FF6" w:rsidP="00181132">
            <w:pPr>
              <w:numPr>
                <w:ilvl w:val="0"/>
                <w:numId w:val="38"/>
              </w:numPr>
              <w:tabs>
                <w:tab w:val="clear" w:pos="720"/>
              </w:tabs>
              <w:autoSpaceDE w:val="0"/>
              <w:autoSpaceDN w:val="0"/>
              <w:adjustRightInd w:val="0"/>
              <w:ind w:left="459"/>
              <w:rPr>
                <w:rFonts w:asciiTheme="minorBidi" w:eastAsia="SimSun" w:hAnsiTheme="minorBidi" w:cstheme="minorBidi"/>
                <w:snapToGrid/>
                <w:lang w:val="es-ES" w:eastAsia="en-AU"/>
              </w:rPr>
            </w:pPr>
            <w:r w:rsidRPr="00F2489B">
              <w:rPr>
                <w:rFonts w:asciiTheme="minorBidi" w:eastAsia="SimSun" w:hAnsiTheme="minorBidi" w:cstheme="minorBidi"/>
                <w:snapToGrid/>
                <w:lang w:val="es-ES" w:eastAsia="en-AU"/>
              </w:rPr>
              <w:t>Todas las reuniones pueden aumentar a 200 personas, pero se debe mantener el límite de una persona cada cuatro metros cuadrados.</w:t>
            </w:r>
          </w:p>
          <w:p w14:paraId="4571395E" w14:textId="77777777" w:rsidR="004E6FF6" w:rsidRPr="00F2489B" w:rsidRDefault="004E6FF6" w:rsidP="00181132">
            <w:pPr>
              <w:numPr>
                <w:ilvl w:val="0"/>
                <w:numId w:val="38"/>
              </w:numPr>
              <w:tabs>
                <w:tab w:val="clear" w:pos="720"/>
              </w:tabs>
              <w:autoSpaceDE w:val="0"/>
              <w:autoSpaceDN w:val="0"/>
              <w:adjustRightInd w:val="0"/>
              <w:ind w:left="459"/>
              <w:rPr>
                <w:rFonts w:asciiTheme="minorBidi" w:eastAsia="SimSun" w:hAnsiTheme="minorBidi" w:cstheme="minorBidi"/>
                <w:snapToGrid/>
                <w:lang w:val="es-ES" w:eastAsia="en-AU"/>
              </w:rPr>
            </w:pPr>
            <w:r w:rsidRPr="00F2489B">
              <w:rPr>
                <w:rFonts w:asciiTheme="minorBidi" w:eastAsia="SimSun" w:hAnsiTheme="minorBidi" w:cstheme="minorBidi"/>
                <w:snapToGrid/>
                <w:lang w:val="es-ES" w:eastAsia="en-AU"/>
              </w:rPr>
              <w:t>Los locales de comidas de tamaño mediano que tengan un espacio útil total de 101 a 200 metros cuadrados podrán tener un máximo de 50 personas en la totalidad del local (excluido el personal).</w:t>
            </w:r>
          </w:p>
          <w:p w14:paraId="23B2ACDB" w14:textId="77777777" w:rsidR="004E6FF6" w:rsidRPr="00F2489B" w:rsidRDefault="004E6FF6" w:rsidP="00181132">
            <w:pPr>
              <w:numPr>
                <w:ilvl w:val="0"/>
                <w:numId w:val="38"/>
              </w:numPr>
              <w:tabs>
                <w:tab w:val="clear" w:pos="720"/>
              </w:tabs>
              <w:autoSpaceDE w:val="0"/>
              <w:autoSpaceDN w:val="0"/>
              <w:adjustRightInd w:val="0"/>
              <w:ind w:left="459"/>
              <w:rPr>
                <w:rFonts w:asciiTheme="minorBidi" w:eastAsia="SimSun" w:hAnsiTheme="minorBidi" w:cstheme="minorBidi"/>
                <w:snapToGrid/>
                <w:lang w:val="es-ES" w:eastAsia="en-AU"/>
              </w:rPr>
            </w:pPr>
            <w:r w:rsidRPr="00F2489B">
              <w:rPr>
                <w:rFonts w:asciiTheme="minorBidi" w:eastAsia="SimSun" w:hAnsiTheme="minorBidi" w:cstheme="minorBidi"/>
                <w:snapToGrid/>
                <w:lang w:val="es-ES" w:eastAsia="en-AU"/>
              </w:rPr>
              <w:t xml:space="preserve">Los locales que tengan un espacio interior grande para clientes sentados (por ejemplo Canberra </w:t>
            </w:r>
            <w:proofErr w:type="spellStart"/>
            <w:r w:rsidRPr="00F2489B">
              <w:rPr>
                <w:rFonts w:asciiTheme="minorBidi" w:eastAsia="SimSun" w:hAnsiTheme="minorBidi" w:cstheme="minorBidi"/>
                <w:snapToGrid/>
                <w:lang w:val="es-ES" w:eastAsia="en-AU"/>
              </w:rPr>
              <w:t>Theatre</w:t>
            </w:r>
            <w:proofErr w:type="spellEnd"/>
            <w:r w:rsidRPr="00F2489B">
              <w:rPr>
                <w:rFonts w:asciiTheme="minorBidi" w:eastAsia="SimSun" w:hAnsiTheme="minorBidi" w:cstheme="minorBidi"/>
                <w:snapToGrid/>
                <w:lang w:val="es-ES" w:eastAsia="en-AU"/>
              </w:rPr>
              <w:t xml:space="preserve"> y </w:t>
            </w:r>
            <w:proofErr w:type="spellStart"/>
            <w:r w:rsidRPr="00F2489B">
              <w:rPr>
                <w:rFonts w:asciiTheme="minorBidi" w:eastAsia="SimSun" w:hAnsiTheme="minorBidi" w:cstheme="minorBidi"/>
                <w:snapToGrid/>
                <w:lang w:val="es-ES" w:eastAsia="en-AU"/>
              </w:rPr>
              <w:t>Llewellyn</w:t>
            </w:r>
            <w:proofErr w:type="spellEnd"/>
            <w:r w:rsidRPr="00F2489B">
              <w:rPr>
                <w:rFonts w:asciiTheme="minorBidi" w:eastAsia="SimSun" w:hAnsiTheme="minorBidi" w:cstheme="minorBidi"/>
                <w:snapToGrid/>
                <w:lang w:val="es-ES" w:eastAsia="en-AU"/>
              </w:rPr>
              <w:t xml:space="preserve"> Hall) podrán organizar eventos con entrada hasta un 50% de capacidad del local y un máximo de 1.000 personas, a condición que tengan un Plan de seguridad del COVID para cada evento específico.</w:t>
            </w:r>
          </w:p>
          <w:p w14:paraId="189E2201" w14:textId="77777777" w:rsidR="004E6FF6" w:rsidRPr="00F2489B" w:rsidRDefault="004E6FF6" w:rsidP="00181132">
            <w:pPr>
              <w:numPr>
                <w:ilvl w:val="0"/>
                <w:numId w:val="38"/>
              </w:numPr>
              <w:tabs>
                <w:tab w:val="clear" w:pos="720"/>
              </w:tabs>
              <w:autoSpaceDE w:val="0"/>
              <w:autoSpaceDN w:val="0"/>
              <w:adjustRightInd w:val="0"/>
              <w:ind w:left="459"/>
              <w:rPr>
                <w:rFonts w:asciiTheme="minorBidi" w:eastAsia="SimSun" w:hAnsiTheme="minorBidi" w:cstheme="minorBidi"/>
                <w:snapToGrid/>
                <w:lang w:val="es-ES" w:eastAsia="en-AU"/>
              </w:rPr>
            </w:pPr>
            <w:r w:rsidRPr="00F2489B">
              <w:rPr>
                <w:rFonts w:asciiTheme="minorBidi" w:eastAsia="SimSun" w:hAnsiTheme="minorBidi" w:cstheme="minorBidi"/>
                <w:snapToGrid/>
                <w:lang w:val="es-ES" w:eastAsia="en-AU"/>
              </w:rPr>
              <w:t>Los cines pueden vender entradas para el 50% de la capacidad de cada sala, con un máximo de 200 personas.</w:t>
            </w:r>
          </w:p>
          <w:p w14:paraId="058B4F0B" w14:textId="77777777" w:rsidR="004E6FF6" w:rsidRPr="00F2489B" w:rsidRDefault="004E6FF6" w:rsidP="00181132">
            <w:pPr>
              <w:numPr>
                <w:ilvl w:val="0"/>
                <w:numId w:val="38"/>
              </w:numPr>
              <w:tabs>
                <w:tab w:val="clear" w:pos="720"/>
              </w:tabs>
              <w:autoSpaceDE w:val="0"/>
              <w:autoSpaceDN w:val="0"/>
              <w:adjustRightInd w:val="0"/>
              <w:ind w:left="459"/>
              <w:rPr>
                <w:rFonts w:asciiTheme="minorBidi" w:eastAsia="SimSun" w:hAnsiTheme="minorBidi" w:cstheme="minorBidi"/>
                <w:snapToGrid/>
                <w:lang w:val="es-ES" w:eastAsia="en-AU"/>
              </w:rPr>
            </w:pPr>
            <w:r w:rsidRPr="00F2489B">
              <w:rPr>
                <w:rFonts w:asciiTheme="minorBidi" w:eastAsia="SimSun" w:hAnsiTheme="minorBidi" w:cstheme="minorBidi"/>
                <w:snapToGrid/>
                <w:lang w:val="es-ES" w:eastAsia="en-AU"/>
              </w:rPr>
              <w:t>Los locales con espacio exterior cercado que tengan asientos en gradas escalonadas y estadios pueden tener hasta el 50% de capacidad, con un máximo de 1.000 personas.</w:t>
            </w:r>
          </w:p>
          <w:p w14:paraId="4C6401D5" w14:textId="77777777" w:rsidR="004E6FF6" w:rsidRPr="00F2489B" w:rsidRDefault="004E6FF6" w:rsidP="00181132">
            <w:pPr>
              <w:numPr>
                <w:ilvl w:val="0"/>
                <w:numId w:val="38"/>
              </w:numPr>
              <w:tabs>
                <w:tab w:val="clear" w:pos="720"/>
              </w:tabs>
              <w:autoSpaceDE w:val="0"/>
              <w:autoSpaceDN w:val="0"/>
              <w:adjustRightInd w:val="0"/>
              <w:ind w:left="459"/>
              <w:rPr>
                <w:rFonts w:asciiTheme="minorBidi" w:eastAsia="SimSun" w:hAnsiTheme="minorBidi" w:cstheme="minorBidi"/>
                <w:snapToGrid/>
                <w:lang w:val="es-ES" w:eastAsia="en-AU"/>
              </w:rPr>
            </w:pPr>
            <w:r w:rsidRPr="00F2489B">
              <w:rPr>
                <w:rFonts w:asciiTheme="minorBidi" w:eastAsia="SimSun" w:hAnsiTheme="minorBidi" w:cstheme="minorBidi"/>
                <w:snapToGrid/>
                <w:lang w:val="es-ES" w:eastAsia="en-AU"/>
              </w:rPr>
              <w:t xml:space="preserve">GIO </w:t>
            </w:r>
            <w:proofErr w:type="spellStart"/>
            <w:r w:rsidRPr="00F2489B">
              <w:rPr>
                <w:rFonts w:asciiTheme="minorBidi" w:eastAsia="SimSun" w:hAnsiTheme="minorBidi" w:cstheme="minorBidi"/>
                <w:snapToGrid/>
                <w:lang w:val="es-ES" w:eastAsia="en-AU"/>
              </w:rPr>
              <w:t>Stadium</w:t>
            </w:r>
            <w:proofErr w:type="spellEnd"/>
            <w:r w:rsidRPr="00F2489B">
              <w:rPr>
                <w:rFonts w:asciiTheme="minorBidi" w:eastAsia="SimSun" w:hAnsiTheme="minorBidi" w:cstheme="minorBidi"/>
                <w:snapToGrid/>
                <w:lang w:val="es-ES" w:eastAsia="en-AU"/>
              </w:rPr>
              <w:t xml:space="preserve"> y </w:t>
            </w:r>
            <w:proofErr w:type="spellStart"/>
            <w:r w:rsidRPr="00F2489B">
              <w:rPr>
                <w:rFonts w:asciiTheme="minorBidi" w:eastAsia="SimSun" w:hAnsiTheme="minorBidi" w:cstheme="minorBidi"/>
                <w:snapToGrid/>
                <w:lang w:val="es-ES" w:eastAsia="en-AU"/>
              </w:rPr>
              <w:t>Manuka</w:t>
            </w:r>
            <w:proofErr w:type="spellEnd"/>
            <w:r w:rsidRPr="00F2489B">
              <w:rPr>
                <w:rFonts w:asciiTheme="minorBidi" w:eastAsia="SimSun" w:hAnsiTheme="minorBidi" w:cstheme="minorBidi"/>
                <w:snapToGrid/>
                <w:lang w:val="es-ES" w:eastAsia="en-AU"/>
              </w:rPr>
              <w:t xml:space="preserve"> Oval pueden llenar hasta el 50% de su capacidad con un Plan de seguridad del COVID apropiado.</w:t>
            </w:r>
          </w:p>
          <w:p w14:paraId="33A721FF" w14:textId="2E8033F1" w:rsidR="004E6FF6" w:rsidRPr="00F2489B" w:rsidRDefault="004E6FF6" w:rsidP="00181132">
            <w:pPr>
              <w:numPr>
                <w:ilvl w:val="0"/>
                <w:numId w:val="38"/>
              </w:numPr>
              <w:tabs>
                <w:tab w:val="clear" w:pos="720"/>
              </w:tabs>
              <w:autoSpaceDE w:val="0"/>
              <w:autoSpaceDN w:val="0"/>
              <w:adjustRightInd w:val="0"/>
              <w:ind w:left="459"/>
              <w:rPr>
                <w:rFonts w:asciiTheme="minorBidi" w:eastAsia="Arial Unicode MS" w:hAnsiTheme="minorBidi" w:cstheme="minorBidi"/>
                <w:lang w:val="es-ES"/>
              </w:rPr>
            </w:pPr>
            <w:r w:rsidRPr="00F2489B">
              <w:rPr>
                <w:rFonts w:asciiTheme="minorBidi" w:eastAsia="SimSun" w:hAnsiTheme="minorBidi" w:cstheme="minorBidi"/>
                <w:snapToGrid/>
                <w:lang w:val="es-ES" w:eastAsia="en-AU"/>
              </w:rPr>
              <w:t>Se alienta vigorosamente a l</w:t>
            </w:r>
            <w:r w:rsidR="00F2489B">
              <w:rPr>
                <w:rFonts w:asciiTheme="minorBidi" w:eastAsia="SimSun" w:hAnsiTheme="minorBidi" w:cstheme="minorBidi"/>
                <w:snapToGrid/>
                <w:lang w:val="es-ES" w:eastAsia="en-AU"/>
              </w:rPr>
              <w:t xml:space="preserve">os locales, </w:t>
            </w:r>
            <w:r w:rsidRPr="00F2489B">
              <w:rPr>
                <w:rFonts w:asciiTheme="minorBidi" w:eastAsia="SimSun" w:hAnsiTheme="minorBidi" w:cstheme="minorBidi"/>
                <w:snapToGrid/>
                <w:lang w:val="es-ES" w:eastAsia="en-AU"/>
              </w:rPr>
              <w:t xml:space="preserve">empresas e instalaciones que deban recabar información para fines de rastreo de contactos a </w:t>
            </w:r>
            <w:r w:rsidR="00F2489B">
              <w:rPr>
                <w:rFonts w:asciiTheme="minorBidi" w:eastAsia="SimSun" w:hAnsiTheme="minorBidi" w:cstheme="minorBidi"/>
                <w:snapToGrid/>
                <w:lang w:val="es-ES" w:eastAsia="en-AU"/>
              </w:rPr>
              <w:t>utilizar</w:t>
            </w:r>
            <w:r w:rsidRPr="00F2489B">
              <w:rPr>
                <w:rFonts w:asciiTheme="minorBidi" w:eastAsia="SimSun" w:hAnsiTheme="minorBidi" w:cstheme="minorBidi"/>
                <w:snapToGrid/>
                <w:lang w:val="es-ES" w:eastAsia="en-AU"/>
              </w:rPr>
              <w:t xml:space="preserve"> un medio electrónico para recabar los datos. Para cumplir con este requisito está disponible la aplicación gratuita </w:t>
            </w:r>
            <w:hyperlink r:id="rId13" w:history="1">
              <w:r w:rsidRPr="00F2489B">
                <w:rPr>
                  <w:rStyle w:val="Hyperlink"/>
                  <w:rFonts w:asciiTheme="minorBidi" w:eastAsia="SimSun" w:hAnsiTheme="minorBidi" w:cstheme="minorBidi"/>
                  <w:snapToGrid/>
                  <w:lang w:val="es-ES" w:eastAsia="en-AU"/>
                </w:rPr>
                <w:t>C</w:t>
              </w:r>
              <w:bookmarkStart w:id="0" w:name="_GoBack"/>
              <w:bookmarkEnd w:id="0"/>
              <w:r w:rsidRPr="00F2489B">
                <w:rPr>
                  <w:rStyle w:val="Hyperlink"/>
                  <w:rFonts w:asciiTheme="minorBidi" w:eastAsia="SimSun" w:hAnsiTheme="minorBidi" w:cstheme="minorBidi"/>
                  <w:snapToGrid/>
                  <w:lang w:val="es-ES" w:eastAsia="en-AU"/>
                </w:rPr>
                <w:t>heck In CBR</w:t>
              </w:r>
            </w:hyperlink>
            <w:r w:rsidRPr="00F2489B">
              <w:rPr>
                <w:rFonts w:asciiTheme="minorBidi" w:eastAsia="SimSun" w:hAnsiTheme="minorBidi" w:cstheme="minorBidi"/>
                <w:snapToGrid/>
                <w:lang w:val="es-ES" w:eastAsia="en-AU"/>
              </w:rPr>
              <w:t>.</w:t>
            </w:r>
          </w:p>
        </w:tc>
      </w:tr>
    </w:tbl>
    <w:p w14:paraId="1D46852C" w14:textId="77777777" w:rsidR="004E6FF6" w:rsidRPr="00233844" w:rsidRDefault="004E6FF6" w:rsidP="004E6FF6">
      <w:pPr>
        <w:ind w:left="-426"/>
        <w:rPr>
          <w:rFonts w:asciiTheme="minorBidi" w:eastAsia="Arial Unicode MS" w:hAnsiTheme="minorBidi" w:cstheme="minorBidi"/>
          <w:lang w:val="es-ES_tradn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4E6FF6" w:rsidRPr="00233844" w14:paraId="51E2C477" w14:textId="77777777" w:rsidTr="0072789E">
        <w:trPr>
          <w:trHeight w:val="589"/>
        </w:trPr>
        <w:tc>
          <w:tcPr>
            <w:tcW w:w="7343" w:type="dxa"/>
            <w:shd w:val="clear" w:color="auto" w:fill="auto"/>
            <w:vAlign w:val="center"/>
          </w:tcPr>
          <w:p w14:paraId="5D063D3B" w14:textId="77777777" w:rsidR="004E6FF6" w:rsidRPr="00233844" w:rsidRDefault="004E6FF6" w:rsidP="0072789E">
            <w:pPr>
              <w:autoSpaceDE w:val="0"/>
              <w:autoSpaceDN w:val="0"/>
              <w:adjustRightInd w:val="0"/>
              <w:rPr>
                <w:rFonts w:asciiTheme="minorBidi" w:eastAsia="SimSun" w:hAnsiTheme="minorBidi" w:cstheme="minorBidi"/>
                <w:b/>
                <w:bCs/>
                <w:snapToGrid/>
                <w:lang w:val="es-ES_tradnl" w:eastAsia="en-AU"/>
              </w:rPr>
            </w:pPr>
            <w:r w:rsidRPr="00233844">
              <w:rPr>
                <w:rFonts w:asciiTheme="minorBidi" w:eastAsia="SimSun" w:hAnsiTheme="minorBidi" w:cstheme="minorBidi"/>
                <w:b/>
                <w:bCs/>
                <w:snapToGrid/>
                <w:lang w:val="es-ES_tradnl" w:eastAsia="en-AU"/>
              </w:rPr>
              <w:t>What stays the same</w:t>
            </w:r>
          </w:p>
        </w:tc>
        <w:tc>
          <w:tcPr>
            <w:tcW w:w="7655" w:type="dxa"/>
            <w:vAlign w:val="center"/>
          </w:tcPr>
          <w:p w14:paraId="5367D853" w14:textId="77777777" w:rsidR="004E6FF6" w:rsidRPr="00233844" w:rsidRDefault="004E6FF6" w:rsidP="0072789E">
            <w:pPr>
              <w:rPr>
                <w:rFonts w:asciiTheme="minorBidi" w:eastAsia="SimSun" w:hAnsiTheme="minorBidi" w:cstheme="minorBidi"/>
                <w:b/>
                <w:bCs/>
                <w:snapToGrid/>
                <w:lang w:val="es-ES_tradnl" w:eastAsia="en-AU"/>
              </w:rPr>
            </w:pPr>
            <w:r w:rsidRPr="00233844">
              <w:rPr>
                <w:rFonts w:asciiTheme="minorBidi" w:eastAsia="SimSun" w:hAnsiTheme="minorBidi" w:cstheme="minorBidi"/>
                <w:b/>
                <w:bCs/>
                <w:snapToGrid/>
                <w:lang w:val="es-ES_tradnl" w:eastAsia="en-AU"/>
              </w:rPr>
              <w:t>Qué no ha cambiado</w:t>
            </w:r>
          </w:p>
        </w:tc>
      </w:tr>
      <w:tr w:rsidR="004E6FF6" w:rsidRPr="00181132" w14:paraId="5059CC40" w14:textId="77777777" w:rsidTr="0072789E">
        <w:trPr>
          <w:trHeight w:val="838"/>
        </w:trPr>
        <w:tc>
          <w:tcPr>
            <w:tcW w:w="7343" w:type="dxa"/>
            <w:shd w:val="clear" w:color="auto" w:fill="auto"/>
            <w:vAlign w:val="center"/>
          </w:tcPr>
          <w:p w14:paraId="0397DAAE" w14:textId="77777777" w:rsidR="004E6FF6" w:rsidRPr="00F2489B" w:rsidRDefault="004E6FF6" w:rsidP="0072789E">
            <w:pPr>
              <w:autoSpaceDE w:val="0"/>
              <w:autoSpaceDN w:val="0"/>
              <w:adjustRightInd w:val="0"/>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All previous requirements under </w:t>
            </w:r>
            <w:r w:rsidRPr="00F2489B">
              <w:rPr>
                <w:rFonts w:asciiTheme="minorBidi" w:eastAsia="SimSun" w:hAnsiTheme="minorBidi" w:cstheme="minorBidi"/>
                <w:b/>
                <w:bCs/>
                <w:snapToGrid/>
                <w:lang w:eastAsia="en-AU"/>
              </w:rPr>
              <w:t>Step 3.1 </w:t>
            </w:r>
            <w:r w:rsidRPr="00F2489B">
              <w:rPr>
                <w:rFonts w:asciiTheme="minorBidi" w:eastAsia="SimSun" w:hAnsiTheme="minorBidi" w:cstheme="minorBidi"/>
                <w:snapToGrid/>
                <w:lang w:eastAsia="en-AU"/>
              </w:rPr>
              <w:t>remain in place, in particular:</w:t>
            </w:r>
          </w:p>
        </w:tc>
        <w:tc>
          <w:tcPr>
            <w:tcW w:w="7655" w:type="dxa"/>
            <w:vAlign w:val="center"/>
          </w:tcPr>
          <w:p w14:paraId="73AD09B1" w14:textId="77777777" w:rsidR="004E6FF6" w:rsidRPr="00233844" w:rsidRDefault="004E6FF6" w:rsidP="0072789E">
            <w:pPr>
              <w:rPr>
                <w:rFonts w:asciiTheme="minorBidi" w:eastAsia="Arial Unicode MS" w:hAnsiTheme="minorBidi" w:cstheme="minorBidi"/>
                <w:lang w:val="es-ES_tradnl"/>
              </w:rPr>
            </w:pPr>
            <w:r w:rsidRPr="00233844">
              <w:rPr>
                <w:rFonts w:asciiTheme="minorBidi" w:eastAsia="SimSun" w:hAnsiTheme="minorBidi" w:cstheme="minorBidi"/>
                <w:snapToGrid/>
                <w:lang w:val="es-ES_tradnl" w:eastAsia="en-AU"/>
              </w:rPr>
              <w:t xml:space="preserve">Todos los requisitos previos del </w:t>
            </w:r>
            <w:r w:rsidRPr="00233844">
              <w:rPr>
                <w:rFonts w:asciiTheme="minorBidi" w:eastAsia="SimSun" w:hAnsiTheme="minorBidi" w:cstheme="minorBidi"/>
                <w:b/>
                <w:bCs/>
                <w:snapToGrid/>
                <w:lang w:val="es-ES_tradnl" w:eastAsia="en-AU"/>
              </w:rPr>
              <w:t>Paso 3.1 </w:t>
            </w:r>
            <w:r w:rsidRPr="00233844">
              <w:rPr>
                <w:rFonts w:asciiTheme="minorBidi" w:eastAsia="SimSun" w:hAnsiTheme="minorBidi" w:cstheme="minorBidi"/>
                <w:snapToGrid/>
                <w:lang w:val="es-ES_tradnl" w:eastAsia="en-AU"/>
              </w:rPr>
              <w:t xml:space="preserve">siguen en vigor, en particular: </w:t>
            </w:r>
          </w:p>
        </w:tc>
      </w:tr>
      <w:tr w:rsidR="004E6FF6" w:rsidRPr="00181132" w14:paraId="52092D37" w14:textId="77777777" w:rsidTr="00181132">
        <w:trPr>
          <w:trHeight w:val="3933"/>
        </w:trPr>
        <w:tc>
          <w:tcPr>
            <w:tcW w:w="7343" w:type="dxa"/>
            <w:shd w:val="clear" w:color="auto" w:fill="auto"/>
            <w:vAlign w:val="center"/>
          </w:tcPr>
          <w:p w14:paraId="1FFDA452" w14:textId="77777777" w:rsidR="004E6FF6" w:rsidRPr="00F2489B" w:rsidRDefault="004E6FF6" w:rsidP="00181132">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No limit on household visits.</w:t>
            </w:r>
          </w:p>
          <w:p w14:paraId="609594EF" w14:textId="77777777" w:rsidR="004E6FF6" w:rsidRPr="00F2489B" w:rsidRDefault="004E6FF6" w:rsidP="00181132">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657F8909" w14:textId="77777777" w:rsidR="004E6FF6" w:rsidRPr="00F2489B" w:rsidRDefault="004E6FF6" w:rsidP="00181132">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Venues, facilities and businesses must develop and follow a </w:t>
            </w:r>
            <w:hyperlink r:id="rId14" w:history="1">
              <w:r w:rsidRPr="00F2489B">
                <w:rPr>
                  <w:rStyle w:val="Hyperlink"/>
                  <w:rFonts w:asciiTheme="minorBidi" w:eastAsia="SimSun" w:hAnsiTheme="minorBidi" w:cstheme="minorBidi"/>
                  <w:snapToGrid/>
                  <w:lang w:eastAsia="en-AU"/>
                </w:rPr>
                <w:t>COVID Safety Plan</w:t>
              </w:r>
            </w:hyperlink>
            <w:r w:rsidRPr="00F2489B">
              <w:rPr>
                <w:rFonts w:asciiTheme="minorBidi" w:eastAsia="SimSun" w:hAnsiTheme="minorBidi" w:cstheme="minorBidi"/>
                <w:snapToGrid/>
                <w:lang w:eastAsia="en-AU"/>
              </w:rPr>
              <w:t>.</w:t>
            </w:r>
          </w:p>
          <w:p w14:paraId="68B913E8" w14:textId="77777777" w:rsidR="004E6FF6" w:rsidRPr="00F2489B" w:rsidRDefault="004E6FF6" w:rsidP="00181132">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Where relevant, specific business categories are required to request and keep contact information from patrons and visitors. </w:t>
            </w:r>
            <w:r w:rsidRPr="00F2489B">
              <w:rPr>
                <w:rFonts w:asciiTheme="minorBidi" w:eastAsia="SimSun" w:hAnsiTheme="minorBidi" w:cstheme="minorBidi"/>
                <w:b/>
                <w:bCs/>
                <w:snapToGrid/>
                <w:lang w:eastAsia="en-AU"/>
              </w:rPr>
              <w:t>Electronic collection is preferred.</w:t>
            </w:r>
            <w:r w:rsidRPr="00F2489B">
              <w:rPr>
                <w:rFonts w:asciiTheme="minorBidi" w:eastAsia="SimSun" w:hAnsiTheme="minorBidi" w:cstheme="minorBidi"/>
                <w:snapToGrid/>
                <w:lang w:eastAsia="en-AU"/>
              </w:rPr>
              <w:t> The free </w:t>
            </w:r>
            <w:hyperlink r:id="rId15" w:history="1">
              <w:r w:rsidRPr="00F2489B">
                <w:rPr>
                  <w:rStyle w:val="Hyperlink"/>
                  <w:rFonts w:asciiTheme="minorBidi" w:eastAsia="SimSun" w:hAnsiTheme="minorBidi" w:cstheme="minorBidi"/>
                  <w:snapToGrid/>
                  <w:lang w:eastAsia="en-AU"/>
                </w:rPr>
                <w:t>Check In CBR app</w:t>
              </w:r>
            </w:hyperlink>
            <w:r w:rsidRPr="00F2489B">
              <w:rPr>
                <w:rFonts w:asciiTheme="minorBidi" w:eastAsia="SimSun" w:hAnsiTheme="minorBidi" w:cstheme="minorBidi"/>
                <w:snapToGrid/>
                <w:lang w:eastAsia="en-AU"/>
              </w:rPr>
              <w:t> is available to fulfil this requirement.</w:t>
            </w:r>
          </w:p>
        </w:tc>
        <w:tc>
          <w:tcPr>
            <w:tcW w:w="7655" w:type="dxa"/>
            <w:vAlign w:val="center"/>
          </w:tcPr>
          <w:p w14:paraId="1F3D8BDE" w14:textId="77777777" w:rsidR="004E6FF6" w:rsidRPr="00233844" w:rsidRDefault="004E6FF6" w:rsidP="00181132">
            <w:pPr>
              <w:numPr>
                <w:ilvl w:val="0"/>
                <w:numId w:val="39"/>
              </w:numPr>
              <w:tabs>
                <w:tab w:val="clear" w:pos="720"/>
              </w:tabs>
              <w:autoSpaceDE w:val="0"/>
              <w:autoSpaceDN w:val="0"/>
              <w:adjustRightInd w:val="0"/>
              <w:ind w:left="459"/>
              <w:rPr>
                <w:rFonts w:asciiTheme="minorBidi" w:eastAsia="SimSun" w:hAnsiTheme="minorBidi" w:cstheme="minorBidi"/>
                <w:snapToGrid/>
                <w:lang w:val="es-ES_tradnl" w:eastAsia="en-AU"/>
              </w:rPr>
            </w:pPr>
            <w:r w:rsidRPr="00233844">
              <w:rPr>
                <w:rFonts w:asciiTheme="minorBidi" w:eastAsia="SimSun" w:hAnsiTheme="minorBidi" w:cstheme="minorBidi"/>
                <w:snapToGrid/>
                <w:lang w:val="es-ES_tradnl" w:eastAsia="en-AU"/>
              </w:rPr>
              <w:t>Ningún límite a las visitas familiares.</w:t>
            </w:r>
          </w:p>
          <w:p w14:paraId="172B7C4C" w14:textId="77777777" w:rsidR="004E6FF6" w:rsidRPr="00233844" w:rsidRDefault="004E6FF6" w:rsidP="00181132">
            <w:pPr>
              <w:numPr>
                <w:ilvl w:val="0"/>
                <w:numId w:val="39"/>
              </w:numPr>
              <w:tabs>
                <w:tab w:val="clear" w:pos="720"/>
              </w:tabs>
              <w:autoSpaceDE w:val="0"/>
              <w:autoSpaceDN w:val="0"/>
              <w:adjustRightInd w:val="0"/>
              <w:ind w:left="459"/>
              <w:rPr>
                <w:rFonts w:asciiTheme="minorBidi" w:eastAsia="SimSun" w:hAnsiTheme="minorBidi" w:cstheme="minorBidi"/>
                <w:snapToGrid/>
                <w:lang w:val="es-ES_tradnl" w:eastAsia="en-AU"/>
              </w:rPr>
            </w:pPr>
            <w:r w:rsidRPr="00233844">
              <w:rPr>
                <w:rFonts w:asciiTheme="minorBidi" w:eastAsia="SimSun" w:hAnsiTheme="minorBidi" w:cstheme="minorBidi"/>
                <w:snapToGrid/>
                <w:lang w:val="es-ES_tradnl" w:eastAsia="en-AU"/>
              </w:rPr>
              <w:t>Todos los locales, instalaciones y empresas deben exhibir claramente a la entrada del local y, cuando existan espacios separados, en cada espacio útil individual, el número de ocupantes permitido.</w:t>
            </w:r>
          </w:p>
          <w:p w14:paraId="7A4C2F5F" w14:textId="07556AEA" w:rsidR="004E6FF6" w:rsidRPr="00233844" w:rsidRDefault="004E6FF6" w:rsidP="00181132">
            <w:pPr>
              <w:numPr>
                <w:ilvl w:val="0"/>
                <w:numId w:val="39"/>
              </w:numPr>
              <w:tabs>
                <w:tab w:val="clear" w:pos="720"/>
              </w:tabs>
              <w:autoSpaceDE w:val="0"/>
              <w:autoSpaceDN w:val="0"/>
              <w:adjustRightInd w:val="0"/>
              <w:ind w:left="459"/>
              <w:rPr>
                <w:rFonts w:asciiTheme="minorBidi" w:eastAsia="SimSun" w:hAnsiTheme="minorBidi" w:cstheme="minorBidi"/>
                <w:snapToGrid/>
                <w:lang w:val="es-ES_tradnl" w:eastAsia="en-AU"/>
              </w:rPr>
            </w:pPr>
            <w:r w:rsidRPr="00233844">
              <w:rPr>
                <w:rFonts w:asciiTheme="minorBidi" w:eastAsia="SimSun" w:hAnsiTheme="minorBidi" w:cstheme="minorBidi"/>
                <w:snapToGrid/>
                <w:lang w:val="es-ES_tradnl" w:eastAsia="en-AU"/>
              </w:rPr>
              <w:t>Los locales, instalaciones y empresas deben formular y seguir un Plan de seguridad del COVID (</w:t>
            </w:r>
            <w:hyperlink r:id="rId16" w:history="1">
              <w:r w:rsidRPr="00233844">
                <w:rPr>
                  <w:rStyle w:val="Hyperlink"/>
                  <w:rFonts w:asciiTheme="minorBidi" w:eastAsia="SimSun" w:hAnsiTheme="minorBidi" w:cstheme="minorBidi"/>
                  <w:snapToGrid/>
                  <w:lang w:val="es-ES_tradnl" w:eastAsia="en-AU"/>
                </w:rPr>
                <w:t>COVID Safety Plan</w:t>
              </w:r>
            </w:hyperlink>
            <w:r w:rsidR="00F2489B">
              <w:rPr>
                <w:rStyle w:val="Hyperlink"/>
                <w:rFonts w:asciiTheme="minorBidi" w:eastAsia="SimSun" w:hAnsiTheme="minorBidi" w:cstheme="minorBidi"/>
                <w:snapToGrid/>
                <w:lang w:val="es-ES_tradnl" w:eastAsia="en-AU"/>
              </w:rPr>
              <w:t>)</w:t>
            </w:r>
            <w:r w:rsidRPr="00233844">
              <w:rPr>
                <w:rFonts w:asciiTheme="minorBidi" w:eastAsia="SimSun" w:hAnsiTheme="minorBidi" w:cstheme="minorBidi"/>
                <w:snapToGrid/>
                <w:lang w:val="es-ES_tradnl" w:eastAsia="en-AU"/>
              </w:rPr>
              <w:t>.</w:t>
            </w:r>
          </w:p>
          <w:p w14:paraId="57C23F74" w14:textId="77777777" w:rsidR="004E6FF6" w:rsidRPr="00233844" w:rsidRDefault="004E6FF6" w:rsidP="00181132">
            <w:pPr>
              <w:numPr>
                <w:ilvl w:val="0"/>
                <w:numId w:val="39"/>
              </w:numPr>
              <w:tabs>
                <w:tab w:val="clear" w:pos="720"/>
              </w:tabs>
              <w:autoSpaceDE w:val="0"/>
              <w:autoSpaceDN w:val="0"/>
              <w:adjustRightInd w:val="0"/>
              <w:ind w:left="459"/>
              <w:rPr>
                <w:rFonts w:asciiTheme="minorBidi" w:eastAsia="Arial Unicode MS" w:hAnsiTheme="minorBidi" w:cstheme="minorBidi"/>
                <w:lang w:val="es-ES_tradnl"/>
              </w:rPr>
            </w:pPr>
            <w:r w:rsidRPr="00233844">
              <w:rPr>
                <w:rFonts w:asciiTheme="minorBidi" w:eastAsia="SimSun" w:hAnsiTheme="minorBidi" w:cstheme="minorBidi"/>
                <w:snapToGrid/>
                <w:lang w:val="es-ES_tradnl" w:eastAsia="en-AU"/>
              </w:rPr>
              <w:t>Si fuera pertinente, las empresas de determinadas categorías deberán solicitar datos de contacto de sus clientes y visitantes, y registrarlos. </w:t>
            </w:r>
            <w:r w:rsidRPr="00233844">
              <w:rPr>
                <w:rFonts w:asciiTheme="minorBidi" w:eastAsia="SimSun" w:hAnsiTheme="minorBidi" w:cstheme="minorBidi"/>
                <w:b/>
                <w:bCs/>
                <w:snapToGrid/>
                <w:lang w:val="es-ES_tradnl" w:eastAsia="en-AU"/>
              </w:rPr>
              <w:t>Es preferible usar medios electrónicos para recabar los datos.</w:t>
            </w:r>
            <w:r w:rsidRPr="00233844">
              <w:rPr>
                <w:rFonts w:asciiTheme="minorBidi" w:eastAsia="SimSun" w:hAnsiTheme="minorBidi" w:cstheme="minorBidi"/>
                <w:snapToGrid/>
                <w:lang w:val="es-ES_tradnl" w:eastAsia="en-AU"/>
              </w:rPr>
              <w:t xml:space="preserve"> Para cumplir con este requisito está disponible la aplicación gratuita </w:t>
            </w:r>
            <w:hyperlink r:id="rId17" w:history="1">
              <w:r w:rsidRPr="00233844">
                <w:rPr>
                  <w:rStyle w:val="Hyperlink"/>
                  <w:rFonts w:asciiTheme="minorBidi" w:eastAsia="SimSun" w:hAnsiTheme="minorBidi" w:cstheme="minorBidi"/>
                  <w:snapToGrid/>
                  <w:lang w:val="es-ES_tradnl" w:eastAsia="en-AU"/>
                </w:rPr>
                <w:t>Check In CBR</w:t>
              </w:r>
            </w:hyperlink>
            <w:r w:rsidRPr="00233844">
              <w:rPr>
                <w:rFonts w:asciiTheme="minorBidi" w:eastAsia="SimSun" w:hAnsiTheme="minorBidi" w:cstheme="minorBidi"/>
                <w:snapToGrid/>
                <w:lang w:val="es-ES_tradnl" w:eastAsia="en-AU"/>
              </w:rPr>
              <w:t>.</w:t>
            </w:r>
          </w:p>
        </w:tc>
      </w:tr>
    </w:tbl>
    <w:p w14:paraId="45187C49" w14:textId="77777777" w:rsidR="004E6FF6" w:rsidRPr="00233844" w:rsidRDefault="004E6FF6" w:rsidP="004E6FF6">
      <w:pPr>
        <w:ind w:left="-426"/>
        <w:rPr>
          <w:rFonts w:asciiTheme="minorBidi" w:eastAsia="Arial Unicode MS" w:hAnsiTheme="minorBidi" w:cstheme="minorBidi"/>
          <w:lang w:val="es-ES_tradnl"/>
        </w:rPr>
      </w:pPr>
    </w:p>
    <w:p w14:paraId="5764C62C" w14:textId="77777777" w:rsidR="004E6FF6" w:rsidRPr="00233844" w:rsidRDefault="004E6FF6" w:rsidP="004E6FF6">
      <w:pPr>
        <w:ind w:left="-426"/>
        <w:rPr>
          <w:rFonts w:asciiTheme="minorBidi" w:eastAsia="Arial Unicode MS" w:hAnsiTheme="minorBidi" w:cstheme="minorBidi"/>
          <w:lang w:val="es-ES_tradnl"/>
        </w:rPr>
      </w:pPr>
    </w:p>
    <w:p w14:paraId="50137507" w14:textId="77777777" w:rsidR="004E6FF6" w:rsidRPr="00233844" w:rsidRDefault="004E6FF6" w:rsidP="004E6FF6">
      <w:pPr>
        <w:ind w:left="-426"/>
        <w:rPr>
          <w:rFonts w:asciiTheme="minorBidi" w:eastAsia="Arial Unicode MS" w:hAnsiTheme="minorBidi" w:cstheme="minorBidi"/>
          <w:lang w:val="es-ES_tradnl"/>
        </w:rPr>
      </w:pPr>
    </w:p>
    <w:p w14:paraId="157D6EBA" w14:textId="77777777" w:rsidR="004E6FF6" w:rsidRPr="00233844" w:rsidRDefault="004E6FF6" w:rsidP="004E6FF6">
      <w:pPr>
        <w:ind w:left="-426"/>
        <w:rPr>
          <w:rFonts w:asciiTheme="minorBidi" w:eastAsia="Arial Unicode MS" w:hAnsiTheme="minorBidi" w:cstheme="minorBidi"/>
          <w:lang w:val="es-ES_tradnl"/>
        </w:rPr>
      </w:pPr>
    </w:p>
    <w:p w14:paraId="080D9F9A" w14:textId="77777777" w:rsidR="004E6FF6" w:rsidRPr="00233844" w:rsidRDefault="004E6FF6" w:rsidP="004E6FF6">
      <w:pPr>
        <w:ind w:left="-426"/>
        <w:rPr>
          <w:rFonts w:asciiTheme="minorBidi" w:eastAsia="Arial Unicode MS" w:hAnsiTheme="minorBidi" w:cstheme="minorBidi"/>
          <w:lang w:val="es-ES_tradnl"/>
        </w:rPr>
      </w:pPr>
    </w:p>
    <w:p w14:paraId="0DB09C1C" w14:textId="77777777" w:rsidR="004E6FF6" w:rsidRPr="00233844" w:rsidRDefault="004E6FF6" w:rsidP="004E6FF6">
      <w:pPr>
        <w:ind w:left="-426"/>
        <w:rPr>
          <w:rFonts w:asciiTheme="minorBidi" w:eastAsia="Arial Unicode MS" w:hAnsiTheme="minorBidi" w:cstheme="minorBidi"/>
          <w:lang w:val="es-ES_tradnl"/>
        </w:rPr>
      </w:pPr>
    </w:p>
    <w:p w14:paraId="4B618463" w14:textId="77777777" w:rsidR="004E6FF6" w:rsidRPr="00233844" w:rsidRDefault="004E6FF6" w:rsidP="004E6FF6">
      <w:pPr>
        <w:ind w:left="-426"/>
        <w:rPr>
          <w:rFonts w:asciiTheme="minorBidi" w:eastAsia="Arial Unicode MS" w:hAnsiTheme="minorBidi" w:cstheme="minorBidi"/>
          <w:lang w:val="es-ES_tradnl"/>
        </w:rPr>
      </w:pPr>
    </w:p>
    <w:p w14:paraId="772095DD" w14:textId="77777777" w:rsidR="004E6FF6" w:rsidRPr="00233844" w:rsidRDefault="004E6FF6" w:rsidP="004E6FF6">
      <w:pPr>
        <w:ind w:left="-426"/>
        <w:rPr>
          <w:rFonts w:asciiTheme="minorBidi" w:eastAsia="Arial Unicode MS" w:hAnsiTheme="minorBidi" w:cstheme="minorBidi"/>
          <w:lang w:val="es-ES_tradnl"/>
        </w:rPr>
      </w:pPr>
    </w:p>
    <w:p w14:paraId="38223F90" w14:textId="77777777" w:rsidR="004E6FF6" w:rsidRPr="00233844" w:rsidRDefault="004E6FF6" w:rsidP="004E6FF6">
      <w:pPr>
        <w:ind w:left="-426"/>
        <w:rPr>
          <w:rFonts w:asciiTheme="minorBidi" w:eastAsia="Arial Unicode MS" w:hAnsiTheme="minorBidi" w:cstheme="minorBidi"/>
          <w:lang w:val="es-ES_tradnl"/>
        </w:rPr>
      </w:pPr>
    </w:p>
    <w:p w14:paraId="14ED4FF5" w14:textId="77777777" w:rsidR="004E6FF6" w:rsidRPr="00233844" w:rsidRDefault="004E6FF6" w:rsidP="004E6FF6">
      <w:pPr>
        <w:ind w:left="-426"/>
        <w:rPr>
          <w:rFonts w:asciiTheme="minorBidi" w:eastAsia="Arial Unicode MS" w:hAnsiTheme="minorBidi" w:cstheme="minorBidi"/>
          <w:lang w:val="es-ES_tradnl"/>
        </w:rPr>
      </w:pPr>
    </w:p>
    <w:p w14:paraId="6F2118E8" w14:textId="77777777" w:rsidR="004E6FF6" w:rsidRPr="00233844" w:rsidRDefault="004E6FF6" w:rsidP="004E6FF6">
      <w:pPr>
        <w:ind w:left="-426"/>
        <w:rPr>
          <w:rFonts w:asciiTheme="minorBidi" w:eastAsia="Arial Unicode MS" w:hAnsiTheme="minorBidi" w:cstheme="minorBidi"/>
          <w:lang w:val="es-ES_tradnl"/>
        </w:rPr>
      </w:pPr>
    </w:p>
    <w:p w14:paraId="63C5713E" w14:textId="77777777" w:rsidR="004E6FF6" w:rsidRPr="00233844" w:rsidRDefault="004E6FF6" w:rsidP="004E6FF6">
      <w:pPr>
        <w:ind w:left="-426"/>
        <w:rPr>
          <w:rFonts w:asciiTheme="minorBidi" w:eastAsia="Arial Unicode MS" w:hAnsiTheme="minorBidi" w:cstheme="minorBidi"/>
          <w:lang w:val="es-ES_tradn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4E6FF6" w:rsidRPr="00181132" w14:paraId="7C0CF57F" w14:textId="77777777" w:rsidTr="0072789E">
        <w:trPr>
          <w:trHeight w:val="595"/>
        </w:trPr>
        <w:tc>
          <w:tcPr>
            <w:tcW w:w="7343" w:type="dxa"/>
            <w:shd w:val="clear" w:color="auto" w:fill="auto"/>
            <w:vAlign w:val="center"/>
          </w:tcPr>
          <w:p w14:paraId="28964632" w14:textId="77777777" w:rsidR="004E6FF6" w:rsidRPr="00F2489B" w:rsidRDefault="004E6FF6" w:rsidP="0072789E">
            <w:pPr>
              <w:autoSpaceDE w:val="0"/>
              <w:autoSpaceDN w:val="0"/>
              <w:adjustRightInd w:val="0"/>
              <w:ind w:left="22"/>
              <w:rPr>
                <w:rFonts w:asciiTheme="minorBidi" w:eastAsia="SimSun" w:hAnsiTheme="minorBidi" w:cstheme="minorBidi"/>
                <w:b/>
                <w:bCs/>
                <w:snapToGrid/>
                <w:lang w:eastAsia="en-AU"/>
              </w:rPr>
            </w:pPr>
            <w:r w:rsidRPr="00F2489B">
              <w:rPr>
                <w:rFonts w:asciiTheme="minorBidi" w:eastAsia="SimSun" w:hAnsiTheme="minorBidi" w:cstheme="minorBidi"/>
                <w:b/>
                <w:bCs/>
                <w:snapToGrid/>
                <w:lang w:eastAsia="en-AU"/>
              </w:rPr>
              <w:lastRenderedPageBreak/>
              <w:t>We all need to continue to be responsible</w:t>
            </w:r>
          </w:p>
        </w:tc>
        <w:tc>
          <w:tcPr>
            <w:tcW w:w="7655" w:type="dxa"/>
            <w:vAlign w:val="center"/>
          </w:tcPr>
          <w:p w14:paraId="280FAA82" w14:textId="77777777" w:rsidR="004E6FF6" w:rsidRPr="00233844" w:rsidRDefault="004E6FF6" w:rsidP="0072789E">
            <w:pPr>
              <w:rPr>
                <w:rFonts w:asciiTheme="minorBidi" w:eastAsia="SimSun" w:hAnsiTheme="minorBidi" w:cstheme="minorBidi"/>
                <w:b/>
                <w:bCs/>
                <w:snapToGrid/>
                <w:lang w:val="es-ES_tradnl" w:eastAsia="en-AU"/>
              </w:rPr>
            </w:pPr>
            <w:r w:rsidRPr="00233844">
              <w:rPr>
                <w:rFonts w:asciiTheme="minorBidi" w:eastAsia="SimSun" w:hAnsiTheme="minorBidi" w:cstheme="minorBidi"/>
                <w:b/>
                <w:bCs/>
                <w:snapToGrid/>
                <w:lang w:val="es-ES_tradnl" w:eastAsia="en-AU"/>
              </w:rPr>
              <w:t>Todos debemos seguir asumiendo nuestra responsabilidad</w:t>
            </w:r>
          </w:p>
        </w:tc>
      </w:tr>
      <w:tr w:rsidR="004E6FF6" w:rsidRPr="00181132" w14:paraId="05EA9C19" w14:textId="77777777" w:rsidTr="00181132">
        <w:trPr>
          <w:trHeight w:val="1083"/>
        </w:trPr>
        <w:tc>
          <w:tcPr>
            <w:tcW w:w="7343" w:type="dxa"/>
            <w:shd w:val="clear" w:color="auto" w:fill="auto"/>
            <w:vAlign w:val="center"/>
          </w:tcPr>
          <w:p w14:paraId="1832F2CA" w14:textId="77777777" w:rsidR="004E6FF6" w:rsidRPr="00F2489B" w:rsidRDefault="004E6FF6" w:rsidP="0072789E">
            <w:pPr>
              <w:autoSpaceDE w:val="0"/>
              <w:autoSpaceDN w:val="0"/>
              <w:adjustRightInd w:val="0"/>
              <w:ind w:left="22"/>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vAlign w:val="center"/>
          </w:tcPr>
          <w:p w14:paraId="7598E734" w14:textId="77777777" w:rsidR="004E6FF6" w:rsidRPr="00233844" w:rsidRDefault="004E6FF6" w:rsidP="0072789E">
            <w:pPr>
              <w:rPr>
                <w:rFonts w:asciiTheme="minorBidi" w:eastAsia="SimSun" w:hAnsiTheme="minorBidi" w:cstheme="minorBidi"/>
                <w:snapToGrid/>
                <w:lang w:val="es-ES_tradnl" w:eastAsia="en-AU"/>
              </w:rPr>
            </w:pPr>
            <w:r w:rsidRPr="00233844">
              <w:rPr>
                <w:rFonts w:asciiTheme="minorBidi" w:eastAsia="SimSun" w:hAnsiTheme="minorBidi" w:cstheme="minorBidi"/>
                <w:snapToGrid/>
                <w:lang w:val="es-ES_tradnl" w:eastAsia="en-AU"/>
              </w:rPr>
              <w:t xml:space="preserve">Los requisitos de las Instrucciones de salud pública no son sólo la responsabilidad de las empresas; también lo son de todos los canberranos. </w:t>
            </w:r>
          </w:p>
        </w:tc>
      </w:tr>
      <w:tr w:rsidR="004E6FF6" w:rsidRPr="00181132" w14:paraId="0F5CD3B6" w14:textId="77777777" w:rsidTr="00181132">
        <w:trPr>
          <w:trHeight w:val="1395"/>
        </w:trPr>
        <w:tc>
          <w:tcPr>
            <w:tcW w:w="7343" w:type="dxa"/>
            <w:shd w:val="clear" w:color="auto" w:fill="auto"/>
            <w:vAlign w:val="center"/>
          </w:tcPr>
          <w:p w14:paraId="14731545" w14:textId="77777777" w:rsidR="004E6FF6" w:rsidRPr="00F2489B" w:rsidRDefault="004E6FF6" w:rsidP="0072789E">
            <w:pPr>
              <w:autoSpaceDE w:val="0"/>
              <w:autoSpaceDN w:val="0"/>
              <w:adjustRightInd w:val="0"/>
              <w:ind w:left="22"/>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2489B">
              <w:rPr>
                <w:rFonts w:asciiTheme="minorBidi" w:eastAsia="SimSun" w:hAnsiTheme="minorBidi" w:cstheme="minorBidi"/>
                <w:snapToGrid/>
                <w:lang w:eastAsia="en-AU"/>
              </w:rPr>
              <w:t>COVIDSafe</w:t>
            </w:r>
            <w:proofErr w:type="spellEnd"/>
            <w:r w:rsidRPr="00F2489B">
              <w:rPr>
                <w:rFonts w:asciiTheme="minorBidi" w:eastAsia="SimSun" w:hAnsiTheme="minorBidi" w:cstheme="minorBidi"/>
                <w:snapToGrid/>
                <w:lang w:eastAsia="en-AU"/>
              </w:rPr>
              <w:t xml:space="preserve"> app.</w:t>
            </w:r>
          </w:p>
        </w:tc>
        <w:tc>
          <w:tcPr>
            <w:tcW w:w="7655" w:type="dxa"/>
            <w:vAlign w:val="center"/>
          </w:tcPr>
          <w:p w14:paraId="1E03B5A9" w14:textId="77777777" w:rsidR="004E6FF6" w:rsidRPr="00233844" w:rsidRDefault="004E6FF6" w:rsidP="0072789E">
            <w:pPr>
              <w:rPr>
                <w:rFonts w:asciiTheme="minorBidi" w:eastAsia="SimSun" w:hAnsiTheme="minorBidi" w:cstheme="minorBidi"/>
                <w:snapToGrid/>
                <w:lang w:val="es-ES_tradnl" w:eastAsia="en-AU"/>
              </w:rPr>
            </w:pPr>
            <w:r w:rsidRPr="00233844">
              <w:rPr>
                <w:rFonts w:asciiTheme="minorBidi" w:eastAsia="SimSun" w:hAnsiTheme="minorBidi" w:cstheme="minorBidi"/>
                <w:snapToGrid/>
                <w:lang w:val="es-ES_tradnl" w:eastAsia="en-AU"/>
              </w:rPr>
              <w:t xml:space="preserve">Todos debemos ser sensatos cuando recibimos gente en nuestra casa, y establecer nuestras propias medidas de control.  Ello incluye saber quién está ahí y a qué hora, y descargar la aplicación </w:t>
            </w:r>
            <w:proofErr w:type="spellStart"/>
            <w:r w:rsidRPr="00233844">
              <w:rPr>
                <w:rFonts w:asciiTheme="minorBidi" w:eastAsia="SimSun" w:hAnsiTheme="minorBidi" w:cstheme="minorBidi"/>
                <w:snapToGrid/>
                <w:lang w:val="es-ES_tradnl" w:eastAsia="en-AU"/>
              </w:rPr>
              <w:t>COVIDSafe</w:t>
            </w:r>
            <w:proofErr w:type="spellEnd"/>
            <w:r w:rsidRPr="00233844">
              <w:rPr>
                <w:rFonts w:asciiTheme="minorBidi" w:eastAsia="SimSun" w:hAnsiTheme="minorBidi" w:cstheme="minorBidi"/>
                <w:snapToGrid/>
                <w:lang w:val="es-ES_tradnl" w:eastAsia="en-AU"/>
              </w:rPr>
              <w:t>.</w:t>
            </w:r>
          </w:p>
        </w:tc>
      </w:tr>
      <w:tr w:rsidR="004E6FF6" w:rsidRPr="00181132" w14:paraId="5909DB11" w14:textId="77777777" w:rsidTr="00181132">
        <w:trPr>
          <w:trHeight w:val="1698"/>
        </w:trPr>
        <w:tc>
          <w:tcPr>
            <w:tcW w:w="7343" w:type="dxa"/>
            <w:shd w:val="clear" w:color="auto" w:fill="auto"/>
            <w:vAlign w:val="center"/>
          </w:tcPr>
          <w:p w14:paraId="7732B33F" w14:textId="77777777" w:rsidR="004E6FF6" w:rsidRPr="00F2489B" w:rsidRDefault="004E6FF6" w:rsidP="0072789E">
            <w:pPr>
              <w:autoSpaceDE w:val="0"/>
              <w:autoSpaceDN w:val="0"/>
              <w:adjustRightInd w:val="0"/>
              <w:ind w:left="22"/>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vAlign w:val="center"/>
          </w:tcPr>
          <w:p w14:paraId="6F1378B0" w14:textId="77777777" w:rsidR="004E6FF6" w:rsidRPr="00233844" w:rsidRDefault="004E6FF6" w:rsidP="0072789E">
            <w:pPr>
              <w:rPr>
                <w:rFonts w:asciiTheme="minorBidi" w:eastAsia="SimSun" w:hAnsiTheme="minorBidi" w:cstheme="minorBidi"/>
                <w:snapToGrid/>
                <w:lang w:val="es-ES_tradnl" w:eastAsia="en-AU"/>
              </w:rPr>
            </w:pPr>
            <w:r w:rsidRPr="00233844">
              <w:rPr>
                <w:rFonts w:asciiTheme="minorBidi" w:eastAsia="SimSun" w:hAnsiTheme="minorBidi" w:cstheme="minorBidi"/>
                <w:snapToGrid/>
                <w:lang w:val="es-ES_tradnl" w:eastAsia="en-AU"/>
              </w:rPr>
              <w:t>Es importante que mantengamos nuestras mejores líneas de defensa contra la enfermedad mediante distanciamiento físico, buenas prácticas de higiene respiratoria y de manos, quedándonos en casa si no estamos bien y haciéndonos la prueba de detección si tenemos síntomas.</w:t>
            </w:r>
          </w:p>
        </w:tc>
      </w:tr>
      <w:tr w:rsidR="004E6FF6" w:rsidRPr="00181132" w14:paraId="01840F86" w14:textId="77777777" w:rsidTr="00181132">
        <w:trPr>
          <w:trHeight w:val="1127"/>
        </w:trPr>
        <w:tc>
          <w:tcPr>
            <w:tcW w:w="7343" w:type="dxa"/>
            <w:shd w:val="clear" w:color="auto" w:fill="auto"/>
            <w:vAlign w:val="center"/>
          </w:tcPr>
          <w:p w14:paraId="6A260100" w14:textId="77777777" w:rsidR="004E6FF6" w:rsidRPr="00F2489B" w:rsidRDefault="004E6FF6" w:rsidP="0072789E">
            <w:pPr>
              <w:autoSpaceDE w:val="0"/>
              <w:autoSpaceDN w:val="0"/>
              <w:adjustRightInd w:val="0"/>
              <w:ind w:left="22"/>
              <w:rPr>
                <w:rFonts w:asciiTheme="minorBidi" w:eastAsia="SimSun" w:hAnsiTheme="minorBidi" w:cstheme="minorBidi"/>
                <w:snapToGrid/>
                <w:lang w:eastAsia="en-AU"/>
              </w:rPr>
            </w:pPr>
            <w:r w:rsidRPr="00F2489B">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vAlign w:val="center"/>
          </w:tcPr>
          <w:p w14:paraId="4F01576F" w14:textId="77777777" w:rsidR="004E6FF6" w:rsidRPr="00233844" w:rsidRDefault="004E6FF6" w:rsidP="0072789E">
            <w:pPr>
              <w:rPr>
                <w:rFonts w:asciiTheme="minorBidi" w:eastAsia="SimSun" w:hAnsiTheme="minorBidi" w:cstheme="minorBidi"/>
                <w:snapToGrid/>
                <w:lang w:val="es-ES_tradnl" w:eastAsia="en-AU"/>
              </w:rPr>
            </w:pPr>
            <w:r w:rsidRPr="00233844">
              <w:rPr>
                <w:rFonts w:asciiTheme="minorBidi" w:eastAsia="SimSun" w:hAnsiTheme="minorBidi" w:cstheme="minorBidi"/>
                <w:snapToGrid/>
                <w:lang w:val="es-ES_tradnl" w:eastAsia="en-AU"/>
              </w:rPr>
              <w:t>Estos principios no han cambiado y son la mejor forma de mantener a nuestra comunidad a salvo y prevenir la propagación del COVID-19.</w:t>
            </w:r>
          </w:p>
        </w:tc>
      </w:tr>
    </w:tbl>
    <w:p w14:paraId="4254451F" w14:textId="77777777" w:rsidR="004E6FF6" w:rsidRPr="00233844" w:rsidRDefault="004E6FF6" w:rsidP="004E6FF6">
      <w:pPr>
        <w:ind w:left="-426"/>
        <w:rPr>
          <w:rFonts w:asciiTheme="minorBidi" w:eastAsia="Arial Unicode MS" w:hAnsiTheme="minorBidi" w:cstheme="minorBidi"/>
          <w:lang w:val="es-ES_tradnl"/>
        </w:rPr>
      </w:pPr>
    </w:p>
    <w:p w14:paraId="35EC8E01" w14:textId="77777777" w:rsidR="004E6FF6" w:rsidRPr="00233844" w:rsidRDefault="004E6FF6" w:rsidP="004E6FF6">
      <w:pPr>
        <w:ind w:left="-426"/>
        <w:rPr>
          <w:rFonts w:asciiTheme="minorBidi" w:eastAsia="Arial Unicode MS" w:hAnsiTheme="minorBidi" w:cstheme="minorBidi"/>
          <w:lang w:val="es-ES_tradnl"/>
        </w:rPr>
      </w:pPr>
    </w:p>
    <w:sectPr w:rsidR="004E6FF6" w:rsidRPr="00233844" w:rsidSect="00582FEC">
      <w:headerReference w:type="even" r:id="rId18"/>
      <w:headerReference w:type="default" r:id="rId19"/>
      <w:footerReference w:type="even" r:id="rId20"/>
      <w:footerReference w:type="default" r:id="rId21"/>
      <w:headerReference w:type="first" r:id="rId22"/>
      <w:footerReference w:type="first" r:id="rId23"/>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D7EEC" w14:textId="77777777" w:rsidR="00142782" w:rsidRPr="00233844" w:rsidRDefault="00142782">
      <w:pPr>
        <w:rPr>
          <w:rFonts w:eastAsia="SimSun"/>
          <w:lang w:val="es-ES_tradnl"/>
        </w:rPr>
      </w:pPr>
      <w:r w:rsidRPr="00233844">
        <w:rPr>
          <w:rFonts w:eastAsia="SimSun"/>
          <w:lang w:val="es-ES_tradnl"/>
        </w:rPr>
        <w:separator/>
      </w:r>
    </w:p>
  </w:endnote>
  <w:endnote w:type="continuationSeparator" w:id="0">
    <w:p w14:paraId="7B90D2CB" w14:textId="77777777" w:rsidR="00142782" w:rsidRPr="00233844" w:rsidRDefault="00142782">
      <w:pPr>
        <w:rPr>
          <w:rFonts w:eastAsia="SimSun"/>
          <w:lang w:val="es-ES_tradnl"/>
        </w:rPr>
      </w:pPr>
      <w:r w:rsidRPr="00233844">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EAFE" w14:textId="77777777" w:rsidR="004E6FF6" w:rsidRPr="00233844" w:rsidRDefault="004E6FF6">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A93E" w14:textId="77777777" w:rsidR="004E6FF6" w:rsidRPr="00233844" w:rsidRDefault="004E6FF6">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0B0F" w14:textId="77777777" w:rsidR="004E6FF6" w:rsidRPr="00233844" w:rsidRDefault="004E6FF6">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F245" w14:textId="77777777" w:rsidR="00142782" w:rsidRPr="00233844" w:rsidRDefault="00142782">
      <w:pPr>
        <w:rPr>
          <w:rFonts w:eastAsia="SimSun"/>
          <w:lang w:val="es-ES_tradnl"/>
        </w:rPr>
      </w:pPr>
      <w:r w:rsidRPr="00233844">
        <w:rPr>
          <w:rFonts w:eastAsia="SimSun"/>
          <w:lang w:val="es-ES_tradnl"/>
        </w:rPr>
        <w:separator/>
      </w:r>
    </w:p>
  </w:footnote>
  <w:footnote w:type="continuationSeparator" w:id="0">
    <w:p w14:paraId="02CB3598" w14:textId="77777777" w:rsidR="00142782" w:rsidRPr="00233844" w:rsidRDefault="00142782">
      <w:pPr>
        <w:rPr>
          <w:rFonts w:eastAsia="SimSun"/>
          <w:lang w:val="es-ES_tradnl"/>
        </w:rPr>
      </w:pPr>
      <w:r w:rsidRPr="00233844">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670B" w14:textId="77777777" w:rsidR="004E6FF6" w:rsidRPr="00233844" w:rsidRDefault="004E6FF6">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9CC4" w14:textId="77777777" w:rsidR="004E6FF6" w:rsidRPr="00233844" w:rsidRDefault="004E6FF6">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C9C3" w14:textId="77777777" w:rsidR="004E6FF6" w:rsidRPr="00233844" w:rsidRDefault="004E6FF6">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08F1"/>
    <w:rsid w:val="00114677"/>
    <w:rsid w:val="00117675"/>
    <w:rsid w:val="00121883"/>
    <w:rsid w:val="00126A5A"/>
    <w:rsid w:val="00130692"/>
    <w:rsid w:val="001314FE"/>
    <w:rsid w:val="00133C9B"/>
    <w:rsid w:val="00134D57"/>
    <w:rsid w:val="00142782"/>
    <w:rsid w:val="0014403E"/>
    <w:rsid w:val="00166D33"/>
    <w:rsid w:val="00170B7E"/>
    <w:rsid w:val="00181132"/>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3844"/>
    <w:rsid w:val="002351FE"/>
    <w:rsid w:val="00241D56"/>
    <w:rsid w:val="0024367C"/>
    <w:rsid w:val="00243B6E"/>
    <w:rsid w:val="00243BBB"/>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4E6FF6"/>
    <w:rsid w:val="00500EE6"/>
    <w:rsid w:val="00503B20"/>
    <w:rsid w:val="00505993"/>
    <w:rsid w:val="00522D4D"/>
    <w:rsid w:val="0054237F"/>
    <w:rsid w:val="00543850"/>
    <w:rsid w:val="00545046"/>
    <w:rsid w:val="00546262"/>
    <w:rsid w:val="00555C01"/>
    <w:rsid w:val="00570A4F"/>
    <w:rsid w:val="00573CFD"/>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28E4"/>
    <w:rsid w:val="008B5B58"/>
    <w:rsid w:val="008C09DC"/>
    <w:rsid w:val="008C3C7A"/>
    <w:rsid w:val="008F3590"/>
    <w:rsid w:val="0090433B"/>
    <w:rsid w:val="0092153F"/>
    <w:rsid w:val="00926037"/>
    <w:rsid w:val="00941361"/>
    <w:rsid w:val="009416B0"/>
    <w:rsid w:val="00960152"/>
    <w:rsid w:val="00962264"/>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43A2E"/>
    <w:rsid w:val="00C53213"/>
    <w:rsid w:val="00C64CBF"/>
    <w:rsid w:val="00C72357"/>
    <w:rsid w:val="00C8021B"/>
    <w:rsid w:val="00C82FD5"/>
    <w:rsid w:val="00C85493"/>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91F07"/>
    <w:rsid w:val="00EA43FB"/>
    <w:rsid w:val="00EA70EB"/>
    <w:rsid w:val="00EB1470"/>
    <w:rsid w:val="00EB5408"/>
    <w:rsid w:val="00EC7360"/>
    <w:rsid w:val="00EE7D3A"/>
    <w:rsid w:val="00EF6C37"/>
    <w:rsid w:val="00F0268C"/>
    <w:rsid w:val="00F119B4"/>
    <w:rsid w:val="00F132AA"/>
    <w:rsid w:val="00F2489B"/>
    <w:rsid w:val="00F42097"/>
    <w:rsid w:val="00F55E26"/>
    <w:rsid w:val="00F64F21"/>
    <w:rsid w:val="00F72D36"/>
    <w:rsid w:val="00F73E3E"/>
    <w:rsid w:val="00F76DAC"/>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AA81222D-6936-4B4E-B549-E7FCDD10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business-and-work/check-in-c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vid19.act.gov.au/__data/assets/pdf_file/0007/1554199/PICC0016-COVID-safety-pla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23" Type="http://schemas.openxmlformats.org/officeDocument/2006/relationships/footer" Target="footer3.xml"/><Relationship Id="rId10" Type="http://schemas.openxmlformats.org/officeDocument/2006/relationships/hyperlink" Target="https://www.covid19.act.gov.au/community/canberra-recovery"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www.w3.org/XML/1998/namespace"/>
    <ds:schemaRef ds:uri="http://purl.org/dc/elements/1.1/"/>
    <ds:schemaRef ds:uri="3770d53c-bd17-423a-a432-f972ff08ea17"/>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34958884-07a2-4c1b-89fa-6f12bc62ed52"/>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6215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Spanish</dc:description>
  <cp:lastModifiedBy>John Golubic</cp:lastModifiedBy>
  <cp:revision>4</cp:revision>
  <cp:lastPrinted>2020-07-28T00:19:00Z</cp:lastPrinted>
  <dcterms:created xsi:type="dcterms:W3CDTF">2020-10-09T04:28:00Z</dcterms:created>
  <dcterms:modified xsi:type="dcterms:W3CDTF">2020-10-09T04:29:00Z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